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71 vom 23. Juli 2020</w:t>
      </w:r>
    </w:p>
    <w:p>
      <w:r>
        <w:t>BE Verwaltungsgericht, 2020-07-23, DE</w:t>
      </w:r>
    </w:p>
    <w:p>
      <w:r>
        <w:rPr>
          <w:b/>
        </w:rPr>
        <w:t xml:space="preserve">Quelle: </w:t>
      </w:r>
      <w:r>
        <w:t>https://mcp.opencaselaw.ch/entscheid/be_verwaltungsgericht_100_2019_71</w:t>
      </w:r>
    </w:p>
    <w:p>
      <w:r>
        <w:t>FR: BE_VERWALTUNGSGERICHT 100 2019 71 du 23 juillet 2020</w:t>
      </w:r>
    </w:p>
    <w:p>
      <w:r>
        <w:t>IT: BE_VERWALTUNGSGERICHT 100 2019 71 del 23 luglio 2020</w:t>
      </w:r>
    </w:p>
    <w:p>
      <w:pPr>
        <w:pStyle w:val="Heading2"/>
      </w:pPr>
      <w:r>
        <w:t>Regeste</w:t>
      </w:r>
    </w:p>
    <w:p>
      <w:r>
        <w:t>Anpassung der Hausanschlussleitung an das Trennsystem (Entscheid des Regierungsstatthalteramts Frutigen-Niedersimmental vom 18. Januar 2019; vbv 12/2018) | Wasser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Gemeinde ist gestützt auf Art. 79 Abs. 1 VRPG unter anderem zur Beschwerdeführung befugt, wenn sie als Trägerin öffentlicher Aufgaben schutzwürdige, spezifische öffentliche Interessen geltend machen kann und in einem Mass betroffen ist, das die Bejahung der Rechtsmittelbefugnis rechtfertigt (BVR 2017 S. 418 E. 4.1, 2013 S. 566 E. 2.4). – Die Gemeinden üben in ihrem Gebiet die unmittelbare Aufsicht über den Gewässerschutz aus und treffen die erforderlichen Massnahmen (Art. 21 Abs. 2 des Kanto- nalen Gewässerschutzgesetzes vom 11. November 1996 [KGSchG; BSG 821.0]). Dazu gehört namentlich der Erlass von Verfügungen zum Ka- nalisationsanschluss, die zur Herstellung des vorschriftsgemässen Zu- stands erforderlich sind (vgl. Art. 22 KGSchG und Art. 6 Abs. 1 Bst. e der Kantonalen Gewässerschutzverordnung vom 24. März 1999 [KGV; BSG 821.1]; Vortrag der Bau-, Verkehrs- und Energiedirektion des Kantons Bern betreffend das Wassernutzungsgesetz, das KGSchG sowie das Wasserversorgungsgesetz, in Tagblatt des Grossen Rates 1996, Bei- lage 37, Bemerkungen zu Art. 21 KGSchG, S. 13). Gestützt auf diese Zu- ständigkeit hat die beschwerdeführende Gemeinde die umstrittene Ver- fügung erlassen (vgl. Begründung der Verfügung vom 16.5.2018, Vorakten RSA pag. 2 f.). Insofern macht sie mit der vorliegenden Beschwerde eine genügende Betroffenheit in schutzwürdigen, spezifischen öffentlichen Inter- essen geltend, die sie im Rahmen einer ihr übertragenen öffentlichen Auf- gabe zu verfolgen hat. Sie ist daher zur Beschwerde befugt.</w:t>
      </w:r>
    </w:p>
    <w:p>
      <w:r>
        <w:rPr>
          <w:b/>
        </w:rPr>
        <w:t>E. 1.3</w:t>
      </w:r>
    </w:p>
    <w:p>
      <w:r>
        <w:t>Die Gemeinde beantragt, «die Verfügung […] vom 16. Mai 2018 sei zu bestätigen» (Beschwerde S. 2 Rechtsbegehren 1). Aus der Be- schwerdebegründung ergibt sich jedoch, dass im vorliegenden Verfahren – wie schon vor der Vorinstanz – nur umstritten ist, ob die Gemeinde den Be- schwerdegegner als Grundeigentümer zur Anpassung seines Haus-</w:t>
      </w:r>
    </w:p>
    <w:p>
      <w:r>
        <w:t>Urteil des Verwaltungsgerichts des Kantons Bern vom 23.07.2020, Nr. 100.2019.71U, Seite 5 anschlusses an das Trennsystem auf eigene Kosten verpflichten darf (Dis- positiv-Ziffer 1 der Verfügung). Auf die Frage, ob der übrige Verfügungs- inhalt rechtmässig ist, ist daher im Folgenden nicht weiter einzugehen.</w:t>
      </w:r>
    </w:p>
    <w:p>
      <w:r>
        <w:rPr>
          <w:b/>
        </w:rPr>
        <w:t>E. 1.4</w:t>
      </w:r>
    </w:p>
    <w:p>
      <w:r>
        <w:t>Die Bestimmungen über Form und Frist sind eingehalten (Art. 81 Abs. 1 i.V.m. Art. 32 VRPG). Auf die Beschwerde ist einzutreten.</w:t>
      </w:r>
    </w:p>
    <w:p>
      <w:r>
        <w:rPr>
          <w:b/>
        </w:rPr>
        <w:t>E. 1.5</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2.1</w:t>
      </w:r>
    </w:p>
    <w:p>
      <w:r>
        <w:t>Umstritten ist, ob die Gemeinde über eine ausreichende Rechts- grundlage verfügt, um Grundeigentümerinnen und Grundeigentümer zu verpflichten, bestehende Hausanschlussleitungen an das Trennsystem anzupassen. Eine solche Rechtsgrundlage ist gemäss der Vorinstanz und dem Beschwerdegegner nicht vorhanden (angefochtener Entscheid E. 2.7). Die Gemeinde ist dagegen der Ansicht, sie ergebe sich unmittelbar aus Art. 7 des Bundesgesetzes vom 24. Januar 1991 über den Schutz der Ge- wässer (Gewässerschutzgesetz, GSchG; SR 814.20; Beschwerde S. 9 Rz. 37). Zudem könnten auch Art. 7 Abs. 4 und Art. 14 Abs. 1 des Ab- wasserreglements mit Gebührenreglement der EG Spiez vom 24. Juni 2013 (nachfolgend: Abwasserreglement, AWR) als Rechtsgrundlage heran- gezogen werden (Beschwerde S. 11 Rz. 44 f.).</w:t>
      </w:r>
    </w:p>
    <w:p>
      <w:r>
        <w:rPr>
          <w:b/>
        </w:rPr>
        <w:t>E. 2.2</w:t>
      </w:r>
    </w:p>
    <w:p>
      <w:r>
        <w:t>Das im GSchG vorgesehene Konzept der Abwasserbeseitigung ver- langt, dass verschmutztes Abwasser zu behandeln ist (Art. 7 Abs. 1 Satz 1 GSchG). Grundeigentümerinnen und -eigentümer müssen deshalb das auf ihrer Parzelle anfallende verschmutzte Abwasser im Bereich der öffent- lichen Kanalisationen in diese einleiten, damit es der zentralen Abwasser- reinigungsanlage (ARA) zugeführt werden kann (Anschluss- und Abnahme- pflicht; Art. 11 Abs. 1 und 3 GSchG). Nicht verschmutztes Abwasser ist da- gegen in erster Linie versickern zu lassen und in zweiter Linie – wenn die</w:t>
      </w:r>
    </w:p>
    <w:p>
      <w:r>
        <w:t>Urteil des Verwaltungsgerichts des Kantons Bern vom 23.07.2020, Nr. 100.2019.71U, Seite 6 örtlichen Verhältnisse eine Versickerung nicht erlauben – in ein Gewässer einzuleiten (Art. 7 Abs. 2 Sätze 1 und 2 GSchG), gegebenenfalls über eine Meteor- bzw. Regenabwasserkanalisation. Nur ausnahmsweise sollte nicht verschmutztes Abwasser in die Schmutzwasserkanalisation eingeleitet werden, da es soweit wie möglich von der ARA fernzuhalten ist, um diese zu entlasten, und um zu verhindern, dass bei Starkregen Schadstoffe aus der Schmutzwasserkanalisation via Regenwasserüberläufe direkt in die Gewässer eingetragen werden (BGer 1C_244/2009 vom 1.2.2010, in URP 2010 S. 277 E. 2.2; Botschaft des Bundesrats zur Volksinitiative «zur Rettung unserer Gewässer» und zur Revision des Bundesgesetzes über den Schutz der Gewässer [nachfolgend: Botschaft GSchG], in BBI 1987 S. 1061 ff., 1169; Hans W. Stutz, Schweizerisches Abwasserrecht, Diss. Zürich 2007, S. 127). Nach der Rechtsprechung des Bundesgerichts ist für die getrennte Ableitung des Regenabwassers eine Trennkanalisation zu er- stellen, wo eine Versickerung nicht möglich ist. Eine Kanalisation im Misch- system genügt grundsätzlich nicht mehr (vgl. BGer 1C_87/2012 vom 27.11.2012, in URP 2013 S. 66 E. 4.3, 1C_244/2009 vom 1.2.2010, in URP 2010 S. 277 E. 2.2 und 2.3.2; Zufferey/Eggs, in Hettich/Jansen/Norer [Hrsg.], Kommentar zum GSchG/WBG, 2016, Art. 17 GSchG N. 53).</w:t>
      </w:r>
    </w:p>
    <w:p>
      <w:r>
        <w:rPr>
          <w:b/>
        </w:rPr>
        <w:t>E. 2.3</w:t>
      </w:r>
    </w:p>
    <w:p>
      <w:r>
        <w:t>Zur Umsetzung des bundesrechtlichen Gebots der getrennten Ab- wasserbeseitigung sieht das kommunale Abwasserreglement in Art. 16 unter dem Titel «Allgemeine Grundsätze der Liegenschaftsentwässerung» namentlich Folgendes vor: Das Schmutz-, Regen- und Reinabwasser ist bis ausserhalb des Gebäudes unabhängig vom Entwässerungssystem von- einander getrennt abzuleiten. Vom Gebäude bis zur öffentlichen Kanali- sation sind die Abwässer gemäss Entwässerungssystem des generellen Entwässerungsplans (GEP) abzuleiten. Ist noch kein GEP vorhanden, muss die Grundstückentwässerung mit separaten Leitungen für Schmutz- und Regenabwasser erfolgen (Abs. 5). Im Trennsystem sind die ver- schmutzten und die nicht verschmutzten Abwässer in separaten Leitungen abzuleiten. Verschmutztes Abwasser ist in die Schmutzabwasser- kanalisation bzw. ARA, Regenabwasser sowie Reinabwasser sind in die Regenabwasserkanalisation einzuleiten (Abs. 3).</w:t>
      </w:r>
    </w:p>
    <w:p>
      <w:r>
        <w:t>Urteil des Verwaltungsgerichts des Kantons Bern vom 23.07.2020, Nr. 100.2019.71U, Seite 7</w:t>
      </w:r>
    </w:p>
    <w:p>
      <w:r>
        <w:rPr>
          <w:b/>
        </w:rPr>
        <w:t>E. 2.4</w:t>
      </w:r>
    </w:p>
    <w:p>
      <w:r>
        <w:t>Die hier betroffene Abwasserleitung dient unbestrittenermassen nur der Entwässerung des Grundstücks des Beschwerdegegners. Es handelt sich somit um einen (privaten) Hausanschluss (vgl. Art. 106 Abs. 3 des Baugesetzes vom 9. Juni 1985 [BauG; BSG 721.0]). Gemäss dem GEP der EG Spiez vom 15. November 2004 ist das Grundstück des Beschwerde- gegners so wie der grösste Teil des Bürgquartiers im Trennsystem zu ent- wässern (Vorakten RSA pag. 60). Eine Versickerung vor Ort kommt nicht in Frage, da das Grundstück in einer schlecht durchlässigen Versickerungs- zone (vgl. Geoportal des Kantons Bern, Karte «Versickerungskarte», ein- sehbar unter: &lt;www.map.apps.be.ch/pub&gt;) und in einer Gefahrenzone für Absenkungen, Einsturz und Dolinen liegt (vgl. Geoportal des Kantons Bern, Karte «Naturgefahrenkarten 1:5’000», einsehbar unter: &lt;www.map.apps.be.ch/pub&gt;), wo punktuelle Versickerungen von Regen- abwasser zu vermeiden sind. Der Beschwerdegegner ist nach den er- wähnten gesetzlichen Vorschriften deshalb grundsätzlich verpflichtet, das auf seinem Grundstück anfallende verschmutzte Abwasser und das nicht verschmutzte Abwasser vom Gebäude bis zur öffentlichen Kanalisation in separaten Leitungen abzuführen.</w:t>
      </w:r>
    </w:p>
    <w:p>
      <w:r>
        <w:rPr>
          <w:b/>
        </w:rPr>
        <w:t>E. 2.5</w:t>
      </w:r>
    </w:p>
    <w:p>
      <w:r>
        <w:t>Zu wessen Lasten und zu welchem Zeitpunkt bereits bestehende Hausanschlussleitungen an diese Vorgaben angepasst werden müssen, regelt das kommunale Abwasserreglement wie folgt: Art. 7 Hausanschlussleitungen […]</w:t>
      </w:r>
    </w:p>
    <w:p>
      <w:r>
        <w:rPr>
          <w:b/>
        </w:rPr>
        <w:t>E. 4</w:t>
      </w:r>
    </w:p>
    <w:p>
      <w:r>
        <w:t>Der Beschwerdegegner bringt weiter vor, die verlangte Anpassung seiner Hausanschlussleitung ans Trennsystem sei mit Blick auf die ihm ent- stehenden Kosten unverhältnismässig und verletze das Rechtsgleichheits- gebot sowie das Willkürverbot.</w:t>
      </w:r>
    </w:p>
    <w:p>
      <w:r>
        <w:t>Urteil des Verwaltungsgerichts des Kantons Bern vom 23.07.2020, Nr. 100.2019.71U, Seite 12</w:t>
      </w:r>
    </w:p>
    <w:p>
      <w:r>
        <w:rPr>
          <w:b/>
        </w:rPr>
        <w:t>E. 4.1</w:t>
      </w:r>
    </w:p>
    <w:p>
      <w:r>
        <w:t>Hat der kommunale Gesetzgeber die Pflicht zur Anpassung von Hausanschlussleitungen auf eigene Kosten im Abwasserreglement ohne ausdrückliche Einschränkungen verankert, ist grundsätzlich davon auszu- gehen, dass er die sich für die Grundeigentümerschaft daraus ergebenden Kosten für verhältnismässig und insbesondere auch für zumutbar er- achtete. Aufgrund des Wertungsprimats des Gesetzgebers liegt es in erster Linie an diesem, die erforderlichen Interessenabwägungen vorzunehmen (VGE 2018/430 vom 12.2.2019 E. 3.2 mit weiteren Hinweisen; vgl. auch Hansjörg Seiler, Glanz und Elend des Verhältnismässigkeitsprinzips, in Quid iuris? Festschrift Universitäre Fernstudien Schweiz, 2015, S. 213 ff., 231 ff., insb. 242). Es kann allerdings nicht ausser Acht gelassen werden, dass die notwendigen Anpassungen kostspielig sein und für die Be- troffenen eine erhebliche Belastung darstellen können, z.B. wenn über längere Strecken neue Leitungen verlegt werden müssen (vgl. Botschaft GSchG S. 1169). Den finanziellen Auswirkungen für die Grundeigentümer- schaft ist daher auch noch bei der konkreten Umsetzung von Art. 7 Abs. 4 und Art. 14 Abs. 1 AWR gebührend Rechnung zu tragen. Aus dem Verhält- nismässigkeitsgebot (Art. 5 Abs. 2 bzw. Art. 36 Abs. 3 der Bundes- verfassung [BV; SR 101]; Art. 28 Abs. 3 der Verfassung des Kantons Bern [KV; BSG 101.1]) ergibt sich insofern, dass im Einzelfall geprüft werden muss, ob besondere Verhältnisse vorliegen, aufgrund derer die finanzielle Belastung ausnahmsweise als unzumutbar zu gelten hat (so auch Hans W. Stutz, a.a.O., S. 128 f., insb. Fn. 480, wonach dem Kostenaspekt «selbstverständlich» besondere Beachtung zu schenken sei).</w:t>
      </w:r>
    </w:p>
    <w:p>
      <w:r>
        <w:rPr>
          <w:b/>
        </w:rPr>
        <w:t>E. 4.2</w:t>
      </w:r>
    </w:p>
    <w:p>
      <w:r>
        <w:t>Bei dieser Prüfung wird zu klären sein, nach welchen Kriterien die Zumutbarkeit der Kosten im Einzelnen beurteilt werden soll. Zu berück- sichtigen sein wird dabei insbesondere der Zweck der umstrittenen An- passungspflicht, der darin besteht, eine Beeinträchtigung der Funktions- tüchtigkeit bzw. Überlastung der Schmutzwasserkanalisation und der ARA durch das Einleiten von unverschmutztem Regenabwasser zu verhindern (vorne E. 2.2). Auf Seiten der betroffenen öffentlichen Interessen könnte in- sofern die Grösse der versiegelten und über die öffentliche Kanalisation entwässerten Fläche auf dem in Frage stehenden Grundstück heran- gezogen werden, steht diese Fläche doch im Allgemeinen in direkter Rela- tion zur Menge an Regenabwasser, die in die Schmutzwasserkanalisation</w:t>
      </w:r>
    </w:p>
    <w:p>
      <w:r>
        <w:t>Urteil des Verwaltungsgerichts des Kantons Bern vom 23.07.2020, Nr. 100.2019.71U, Seite 13 geleitet wird und das Abwassersystem dadurch belastet. Jedenfalls kann das Kriterium der sog. Einwohnergleichwerte (EGW), an welches die Rechtsprechung zur Beurteilung der Kosten für einen (erstmaligen) An- schluss an die Schmutzwasserkanalisation regelmässig anknüpft (Anzahl Zimmer ohne Küche, Badezimmer und Toiletten; BGE 132 II 515 E. 5.1 f. [Pra 96/2007 Nr. 114]; BVR 2008 S. 452 E. 5.2, je mit weiteren Hinweisen; Stutz/Kehrli, a.a.O., Art. 11 N. 14), nicht unbesehen auf die vorliegende Situation übertragen werden. Auf Seiten der privaten Interessen wird so- dann zu prüfen sein, ob die verlangte Anpassung zur Folge hat, dass be- reits getätigte Investitionen in die bestehenden privaten Abwasserleitungen nicht mehr amortisiert werden können. Solche nutzlos gewordenen Auf- wendungen der Privaten sind auf jeden Fall an die Anpassungskosten an- zurechnen (vgl. VGE 21253 vom 19.2.2002, in URP 2002 S. 225 E. 3h). In denjenigen Fällen, in denen sich eine rasche Anpassung an das Trenn- system als unzumutbar erweist, weil die finanziellen Auswirkungen für die betroffene Grundeigentümerschaft eine grosse finanzielle Härte darstellen, ist schliesslich zu bedenken, ob dem Verhältnismässigkeitsprinzip durch Einräumung einer verlängerten Anpassungsfrist Rechnung getragen werden kann.</w:t>
      </w:r>
    </w:p>
    <w:p>
      <w:r>
        <w:rPr>
          <w:b/>
        </w:rPr>
        <w:t>E. 4.3</w:t>
      </w:r>
    </w:p>
    <w:p>
      <w:r>
        <w:t>Für den vorliegenden Fall ergibt sich aus dem Gesagten, dass weitere Sachverhaltselemente erhoben werden müssen, um die Zumutbar- keit der umstrittenen Verpflichtung umfassend beurteilen zu können. Es ist nicht Aufgabe des Verwaltungsgerichts, die erforderliche Zumutbarkeits- prüfung unter Vervollständigung des Sachverhalts als erste Instanz vor- zunehmen (BVR 2008 S. 372 E. 5.3; Merkli/Aeschlimann/Herzog, a.a.O., Art. 84 N. 4). Die Beschwerde ist daher im Eventualstandpunkt gut- zuheissen, der angefochtene Entscheid aufzuheben und die Sache an die Vorinstanz zur Neubeurteilung zurückzuweisen. Dabei wird unter anderem zu berücksichtigen sein, dass die hier anzuwendenden kommunalen Vor- schriften dem kantonalen Musterabwasserreglement entstammen (vorne E. 2.5), mit dem insbesondere im Hinblick auf die Rechtssicherheit eine ge- wisse Einheitlichkeit in der Umsetzung der übergeordneten Vorgaben auf kommunaler Ebene angestrebt wird. Insofern liegt es nahe, die Praxis in anderen Gemeinden mit vergleichbaren, ebenfalls dem Musterreglement entnommenen Bestimmungen heranzuziehen. Hierzu bietet es sich an,</w:t>
      </w:r>
    </w:p>
    <w:p>
      <w:r>
        <w:t>Urteil des Verwaltungsgerichts des Kantons Bern vom 23.07.2020, Nr. 100.2019.71U, Seite 14 beim Amt für Wasser und Abfall des Kantons Bern – der Herausgeberin des Musterabwasserreglements – einen entsprechenden Fachbericht ein- zuholen. Ein solcher Bericht könnte möglicherweise auch weitere Auf- schlüsse über den Entstehungshintergrund der fraglichen Bestimmungen geben.</w:t>
      </w:r>
    </w:p>
    <w:p>
      <w:r>
        <w:rPr>
          <w:b/>
        </w:rPr>
        <w:t>E. 4.4</w:t>
      </w:r>
    </w:p>
    <w:p>
      <w:r>
        <w:t>Auf die Rügen betreffend die angeblichen Verletzungen der Rechts- gleichheit und des Willkürverbots, die der Beschwerdeführer im Übrigen nicht näher begründet, braucht nach dem Gesagten nicht weiter ein- gegangen zu werden.</w:t>
      </w:r>
    </w:p>
    <w:p>
      <w:r>
        <w:rPr>
          <w:b/>
        </w:rPr>
        <w:t>E. 5.1</w:t>
      </w:r>
    </w:p>
    <w:p>
      <w:r>
        <w:t>Bei diesem Ausgang des Verfahrens dringt die Gemeinde mit ihrem Rechtsmittel nur teilweise durch. Nach der Praxis des Verwaltungsgerichts ist indes im Kostenpunkt von einem vollumfänglichen Obsiegen auszu- gehen, sofern bei Vorliegen eines reformatorischen (Haupt‑)Antrags ein Rückweisungsentscheid ergeht und die infolge Rückweisung vorzu- nehmende Neubeurteilung – wie hier – noch zu einer vollständigen Gut- heissung des Begehrens führen kann (BVR 2016 S. 222 E. 4.1). Demnach ist die Gemeinde für die Kostenverlegung im verwaltungsgerichtlichen Ver- fahren als vollständig obsiegend zu betrachten und hat der Beschwerde- gegner als unterliegende Partei die Kosten für das Verfahren vor dem Ver- waltungsgericht zu tragen (Art. 108 Abs. 1 VRPG). Bei der Festsetzung der Verfahrenskosten ist zu berücksichtigen, dass der Bearbeitungsaufwand geringer ausgefallen ist, da das Verwaltungsgericht parallel zum vor- liegenden Verfahren eine Streitigkeit mit weitgehend identischer Frage- stellung zu beurteilen hatte (Verfahren 100.2019.70).</w:t>
      </w:r>
    </w:p>
    <w:p>
      <w:r>
        <w:rPr>
          <w:b/>
        </w:rPr>
        <w:t>E. 5.2</w:t>
      </w:r>
    </w:p>
    <w:p>
      <w:r>
        <w:t>Gemäss Art. 104 Abs. 4 i.V.m. Art. 2 Abs. 1 Bst. b VRPG haben Ge- meinden in der Regel keinen Anspruch auf Ersatz ihrer Parteikosten. Parteikostenersatz kann einer Gemeinde aber ausnahmsweise gewährt werden, wenn eine besonders komplexe Angelegenheit vorliegt oder wenn die Gemeinde nicht in erster Linie hoheitliche Interessen wahrt, sondern – insbesondere als Bauherrin oder Grundeigentümerin – wie eine Privat-</w:t>
      </w:r>
    </w:p>
    <w:p>
      <w:r>
        <w:t>Urteil des Verwaltungsgerichts des Kantons Bern vom 23.07.2020, Nr. 100.2019.71U, Seite 15 person betroffen ist (BVR 2015 S. 581 E. 7.3). Tritt die Gemeinde – wie hier – als Erschliessungsträgerin auf, ist sie nicht wie eine Privatperson be- troffen. Zudem war die Angelegenheit nicht besonders komplex. Die Ge- meinde hat daher keinen Anspruch auf Ersatz ihrer Parteikosten. Als unter- liegende Partei hat auch der nicht anwaltlich vertretene Beschwerdegegner keinen Anspruch auf eine Parteientschädigung und Auslagenersatz (vgl. Art. 108 Abs. 3 i.V.m. Art. 104 Abs. 2 VRPG), weshalb seinem dahin- gehenden Begehren (Beschwerdeantwort S. 3) nicht entsprochen werden kann.</w:t>
      </w:r>
    </w:p>
    <w:p>
      <w:r>
        <w:rPr>
          <w:b/>
        </w:rPr>
        <w:t>E. 6</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 sache offenstehenden Rechtsmittel selbständig angefochten werden können (BGE 144 V 280 E. 1.2, 142 II 20 E. 1.2, je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