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66 vom 17. Januar 2019</w:t>
      </w:r>
    </w:p>
    <w:p>
      <w:r>
        <w:t>BE Verwaltungsgericht, 2019-01-17, DE</w:t>
      </w:r>
    </w:p>
    <w:p>
      <w:r>
        <w:rPr>
          <w:b/>
        </w:rPr>
        <w:t xml:space="preserve">Quelle: </w:t>
      </w:r>
      <w:r>
        <w:t>https://mcp.opencaselaw.ch/entscheid/be_verwaltungsgericht_100_2019_66</w:t>
      </w:r>
    </w:p>
    <w:p>
      <w:r>
        <w:t>FR: BE_VERWALTUNGSGERICHT 100 2019 66 du 17 janvier 2019</w:t>
      </w:r>
    </w:p>
    <w:p>
      <w:r>
        <w:t>IT: BE_VERWALTUNGSGERICHT 100 2019 66 del 17 gennaio 2019</w:t>
      </w:r>
    </w:p>
    <w:p>
      <w:pPr>
        <w:pStyle w:val="Heading2"/>
      </w:pPr>
      <w:r>
        <w:t>Regeste</w:t>
      </w:r>
    </w:p>
    <w:p>
      <w:r>
        <w:t>Kantons- und Gemeindesteuern sowie direkte Bundessteuer 2017 (Entscheide der Steuerrekurskommission des Kantons Bern vom 17. Januar 2019; 100 17 562, 200 17 459 )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 führer hat am vorinstanzlichen Rekurs- und Beschwerdeverfahren teil- genommen, ist durch die angefochtenen Entscheide besonders berührt und hat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da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gleich lauten</w:t>
      </w:r>
    </w:p>
    <w:p>
      <w:r>
        <w:t>Urteil des Verwaltungsgerichts des Kantons Bern vom 24.10.2019, Nrn. 100.2019.66/67U, Seite 4 (vgl. hinten E. 2), rechtfertigt sich die gemeinsame Beurteilung der Streitig- keit hinsichtlich kommunaler, kantonaler und eidgenössischer Steuern.</w:t>
      </w:r>
    </w:p>
    <w:p>
      <w:r>
        <w:rPr>
          <w:b/>
        </w:rPr>
        <w:t>E. 1.3</w:t>
      </w:r>
    </w:p>
    <w:p>
      <w:r>
        <w:t>Da der Streitwert beider Verfahren unter Fr. 20'000.-- liegt, fällt die Behandlung der Beschwerden in die einzelrichterliche Zuständigkeit (vgl. Art. 57 Abs. 1 des Gesetzes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rPr>
          <w:b/>
        </w:rPr>
        <w:t>E. 2</w:t>
      </w:r>
    </w:p>
    <w:p>
      <w:r>
        <w:t>Strittig ist, wie die Auszahlung (vom 16.6.2017 von Fr. 148'770.65) aus einem Freizügigkeitskonto zu besteuern ist.</w:t>
      </w:r>
    </w:p>
    <w:p>
      <w:r>
        <w:rPr>
          <w:b/>
        </w:rPr>
        <w:t>E. 2.1</w:t>
      </w:r>
    </w:p>
    <w:p>
      <w:r>
        <w:t>Gemäss Art. 19 Abs. 1 StG bzw. Art. 16 Abs. 1 DBG unterliegen grundsätzlich alle wiederkehrenden und einmaligen Einkünfte der Ein- kommenssteuer (vgl. auch Art. 7 Abs. 1 des Bundesgesetzes vom 14. De- zember 1990 über die Harmonisierung der direkten Steuern der Kantone und Gemeinden [StHG; SR 642.14]). Steuerbar sind insbesondere alle Ein- künfte aus Einrichtungen der beruflichen Vorsorge und aus anerkannten Formen der gebundenen Selbstvorsorge einschliesslich der Kapital- abfindungen und Rückzahlungen von Einlagen, Prämien und Beiträgen (Art. 26 Abs. 1 StG; Art. 22 Abs. 1 DBG). Als Einkünfte aus der beruflichen Vorsorge gelten insbesondere Leistungen aus Vorsorgekassen, aus Spar- und Gruppenversicherungen sowie aus Freizügigkeitspolicen (Art. 26 Abs. 2 StG; Art. 22 Abs. 2 DBG). Beiträge an Einrichtungen der beruflichen Vorsorge können von den Einkünften abgezogen werden (Art. 38 Abs. 1 Bst. d StG; Art. 33 Abs. 1 Bst. d DBG), weshalb im Zeitpunkt der Bezahlung der Beiträge in diesem Umfang keine Steuern anfallen. Im Gegenzug sind aber sämtliche Leistungen aus Einrichtungen der beruflichen Vorsorge in vollem Umfang als Einkommen zu besteuern (Richner/Frei/Kaufmann/Meuter, Handkommentar zum DBG, 3. Aufl. 2016, Art. 22 N. 31; Leuch/Amonn, in Leuch/Kästli/Langenegger [Hrsg.], Praxis- Kommentar zum Berner Steuergesetz, Band 1, 2014, Art. 26 N. 4; Peter</w:t>
      </w:r>
    </w:p>
    <w:p>
      <w:r>
        <w:t>Urteil des Verwaltungsgerichts des Kantons Bern vom 24.10.2019, Nrn. 100.2019.66/67U, Seite 5 Locher, Kommentar zum DBG, I. Teil, 2001, Art. 22 N. 20). Besteuert werden nicht nur die Zins- und Überschussanteile, sondern auch die Rückzahlung der eigenen Einlagen, Prämien und Beiträge (Steiner/Lang, in Zweifel/Beusch [Hrsg.], Kommentar zum Schweizerischen Steuerrecht,</w:t>
      </w:r>
    </w:p>
    <w:p>
      <w:r>
        <w:rPr>
          <w:b/>
        </w:rPr>
        <w:t>E. 2.2</w:t>
      </w:r>
    </w:p>
    <w:p>
      <w:r>
        <w:t>Der Beschwerdeführer beruft sich auf Art. 29 Bst. k StG bzw. Art. 16 Abs. 3 DBG, wonach Kapitalgewinne aus der Veräusserung von (beweg- lichem) Privatvermögen steuerfrei sind. Er stellt sich auf den Standpunkt, dass ein Teil des Kapitalbezugs unter diese Bestimmungen fällt. Bei der fraglichen Kapitalleistung handelt es sich indes unbestrittenermassen um eine Auszahlung von einem Freizügigkeitskonto der zweiten Säule und da- mit nach dem Gesagten um Einkommen aus Vorsorge und nicht um Ein- kommen aus der Veräusserung von (beweglichem) Privatvermögen. Aus diesem Grund gelangt im vorliegenden Fall nicht Art. 29 Bst. k StG bzw. Art. 16 Abs. 3 DBG, sondern Art. 26 StG bzw. Art. 22 DBG zur Anwendung.</w:t>
      </w:r>
    </w:p>
    <w:p>
      <w:r>
        <w:rPr>
          <w:b/>
        </w:rPr>
        <w:t>E. 2.3</w:t>
      </w:r>
    </w:p>
    <w:p>
      <w:r>
        <w:t>Einkünfte aus der beruflichen Vorsorge werden gesondert vom übrigen Einkommen besteuert (Art. 44 Abs. 1 Bst. a StG bzw. Art. 38 Abs. 1 DBG; vgl. auch Art. 11 Abs. 3 StHG). Die kantonalen Steuern werden zu einem reduzierten Tarif (Art. 44 Abs. 2 und 3 StG) und die direkte Bundessteuer zu einem Fünftel der ordentlichen Tarife (Art. 38 Abs. 2 DBG) festgesetzt. Kapitalleistungen zum Erwerb von Wohneigentum werden nach Art. 38 DBG besteuert (Richner/Frei/Kaufmann/Meuter, a.a.O., Art. 38 N. 11). Mit der gesonderten Besteuerung und dem redu- zierten Tarif wird dem Umstand Rechnung getragen, dass sich bei der Aus-</w:t>
      </w:r>
    </w:p>
    <w:p>
      <w:r>
        <w:t>Urteil des Verwaltungsgerichts des Kantons Bern vom 24.10.2019, Nrn. 100.2019.66/67U, Seite 6 zahlung des Vorsorgekapitals die Progression zusammen mit dem übrigen steuerbaren Einkommen deutlich erhöhen würde und dass üblicherweise über mehrere Jahre periodisch fliessende Leistungen einmalig entrichtet werden (vgl. Richner/Frei/Kaufmann/Meuter, a.a.O., Art. 38 N. 5).</w:t>
      </w:r>
    </w:p>
    <w:p>
      <w:r>
        <w:rPr>
          <w:b/>
        </w:rPr>
        <w:t>E. 2.4</w:t>
      </w:r>
    </w:p>
    <w:p>
      <w:r>
        <w:t>Dem Beschwerdeführer wurde am 16. Juni 2017 ein Betrag von Fr. 148'770.65 aus einem Freizügigkeitskonto bei der Liberty Freizügig- keitsstiftung ausbezahlt. Bei den kantonalen Steuern wurde eine einfache Steuer von Fr. 1'471.65 und bei der direkten Bundessteuer eine Steuer von Fr. 1'478.10 erhoben (vgl. Veranlagungsverfügungen vom 5.9.2017, Vor- akten Steuerverwaltung [act. 9B] pag. 5 ff.). Berechnungsfehler sind nicht ersichtlich und werden vom Beschwerdeführer auch nicht geltend gemacht.</w:t>
      </w:r>
    </w:p>
    <w:p>
      <w:r>
        <w:rPr>
          <w:b/>
        </w:rPr>
        <w:t>E. 2.5</w:t>
      </w:r>
    </w:p>
    <w:p>
      <w:r>
        <w:t>Die Beschwerden erweisen sich als unbegründet und sind abzu- weisen.</w:t>
      </w:r>
    </w:p>
    <w:p>
      <w:r>
        <w:rPr>
          <w:b/>
        </w:rPr>
        <w:t>E. 3</w:t>
      </w:r>
    </w:p>
    <w:p>
      <w:r>
        <w:t>Bei diesem Ausgang der Verfahren wird der Beschwerdeführer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[Verwaltungsverfahrens- 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