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113 vom 13. Oktober 2003</w:t>
      </w:r>
    </w:p>
    <w:p>
      <w:r>
        <w:t>BE Verwaltungsgericht, 2003-10-13, DE</w:t>
      </w:r>
    </w:p>
    <w:p>
      <w:r>
        <w:rPr>
          <w:b/>
        </w:rPr>
        <w:t xml:space="preserve">Quelle: </w:t>
      </w:r>
      <w:r>
        <w:t>https://mcp.opencaselaw.ch/entscheid/be_verwaltungsgericht_100_2019_113</w:t>
      </w:r>
    </w:p>
    <w:p>
      <w:r>
        <w:t>FR: BE_VERWALTUNGSGERICHT 100 2019 113 du 13 octobre 2003</w:t>
      </w:r>
    </w:p>
    <w:p>
      <w:r>
        <w:t>IT: BE_VERWALTUNGSGERICHT 100 2019 113 del 13 ottobre 2003</w:t>
      </w:r>
    </w:p>
    <w:p>
      <w:pPr>
        <w:pStyle w:val="Heading2"/>
      </w:pPr>
      <w:r>
        <w:t>Regeste</w:t>
      </w:r>
    </w:p>
    <w:p>
      <w:r>
        <w:t>Anordnung der Ausschaffungshaft (Entscheid des kantonalen Zwangsmassnahmengerichts vom 20. März 2019; KZM 19 364)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Seine Beschwerde mit dem sinngemäss gestellten Antrag auf Entlassung aus der Ausschaffungshaft genügt den herabgesetzten Begründungsanforderungen an Laieneingaben, wie sie ins- besondere auf dem Gebiet der ausländerrechtlichen Zwangsmassnahmen</w:t>
      </w:r>
    </w:p>
    <w:p>
      <w:r>
        <w:t>Urteil des Verwaltungsgerichts des Kantons Bern vom 02.04.2019, Nr. 100.2019.113U, Seite 4 gelten (Art. 32 Abs. 2 VRPG; BVR 2006 S. 470 E. 2.4; Merkli/Aeschlimann/Herzog, Kommentar zum bernischen VRPG, 1997, Art. 32 N. 15; BGE 122 I 275 E. 3b). Auf die im Übrigen fristgerecht einge- reichte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 nisation der Gerichtsbehörden und der Staatsanwaltschaft [GSOG; BSG 161.1]).</w:t>
      </w:r>
    </w:p>
    <w:p>
      <w:r>
        <w:rPr>
          <w:b/>
        </w:rPr>
        <w:t>E. 2</w:t>
      </w:r>
    </w:p>
    <w:p>
      <w:r>
        <w:t>Wurde ein erstinstanzlicher (nicht notwendigerweise auch rechtskräftiger) Weg- oder Ausweisungsentscheid eröffnet oder eine erstinstanzliche Lan- desverweisung nach Art. 66a oder 66abis des Schweizerischen Strafgesetz- buches (StGB; SR 311.0) ausgesprochen, kann die zuständige Behörde zur Sicherstellung des Vollzugs die ausländische Person in Ausschaffungs- 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bestehen und der Vollzug der Wegweisung mit dem nötigen Nachdruck verfolgt werden (Beschleunigungsgebot; Art. 76 Abs. 4 AIG). Die Adminis- trativhaft hat insgesamt den sich aus dem Verhältnismässigkeitsprinzip er- gebenden Erfordernissen zu genügen (Art. 36 Abs. 3 der Bundesver- fassung [BV; SR 101]; Art. 28 Abs. 3 der Verfassung des Kantons Bern [KV; BSG 101.1]), es dürfen keine Haftbeendigungsgründe vorliegen (Art. 80 Abs. 6 AIG) und es ist die maximal zulässige Haftdauer zu be- achten (Art. 79 AIG). Die Rechtmässigkeit und die Angemessenheit der Haft sind gemäss Art. 80 Abs. 2 AIG spätestens nach 96 Stunden durch eine richterliche Behörde aufgrund einer mündlichen Verhandlung zu über- prüfen.</w:t>
      </w:r>
    </w:p>
    <w:p>
      <w:r>
        <w:t>Urteil des Verwaltungsgerichts des Kantons Bern vom 02.04.2019, Nr. 100.2019.113U, Seite 5</w:t>
      </w:r>
    </w:p>
    <w:p>
      <w:r>
        <w:rPr>
          <w:b/>
        </w:rPr>
        <w:t>E. 3.1</w:t>
      </w:r>
    </w:p>
    <w:p>
      <w:r>
        <w:t>Der Beschwerdeführer befand sich vom 28. Februar bis zum 20. März 2019 im Strafvollzug (vgl. Vollzugsauftrag/Einweisungsverfügung vom 1.3.2019, unpag. Haftakten ZMG). Auf das Vollzugsende hin nahm ihn das MIP in Ausschaffungshaft (vgl. vorne Bst. A; Anordnung Ausschaf- fungshaft vom 19.3.2019, unpag. Haftakten ZMG S. 1). Das ZMG be- stätigte die Massnahme nach mündlicher Verhandlung vom 20. März 2019 (vgl. Protokoll ZMG vom 20.3.2019 [nachfolgend: Protokoll ZMG], unpag. Haftakten ZMG). Die gesetzliche Frist von 96 Stunden gemäss Art. 80 Abs. 2 AIG ist damit eingehalten.</w:t>
      </w:r>
    </w:p>
    <w:p>
      <w:r>
        <w:rPr>
          <w:b/>
        </w:rPr>
        <w:t>E. 3.2</w:t>
      </w:r>
    </w:p>
    <w:p>
      <w:r>
        <w:t>Der MIP hat den Beschwerdeführer am 13. März 2019 aus der Schweiz weggewiesen und angeordnet, die Wegweisung sei sofort zu voll- strecken (Wegweisungsverfügung vom 13.3.2019, unpag. Haftakten ZMG). Es liegt demnach ein Wegweisungsentscheid im Sinn von Art. 76 Abs. 1 AIG vor, dessen Vollzug mit der Ausschaffungshaft sichergestellt werden kann.</w:t>
      </w:r>
    </w:p>
    <w:p>
      <w:r>
        <w:rPr>
          <w:b/>
        </w:rPr>
        <w:t>E. 4.1</w:t>
      </w:r>
    </w:p>
    <w:p>
      <w:r>
        <w:t>Das ZMG hat den Haftgrund gemäss Art. 76 Abs. 1 Bst. b Ziff. 3 und Ziff. 4 AIG der (tatsächlichen) Untertauchensgefahr als gegeben erachtet (angefochtener Entscheid S. 3). Eine Untertauchensgefahr liegt nach dem Gesetzestext vor, wenn konkrete Anzeichen befürchten lassen, dass die betroffene Person sich der Ausschaffung entziehen will, insbesondere weil sie der Mitwirkungspflicht nach Art. 90 AIG und Art. 8 Abs. 1 Bst. a oder Abs. 4 des Asylgesetzes vom 26. Juni 1998 (AsylG; SR 142.31) nicht nach- kommt (Ziff. 3) oder wenn ihr bisheriges Verhalten darauf schliessen lässt, dass sie sich behördlichen Anordnungen widersetzt (Ziff. 4). Ob eine derar- tige Untertauchensgefahr vorliegt, muss aufgrund der gesamten Umstände des Einzelfalls beurteilt werden. Neben den ausdrücklich genannten Fällen der Mitwirkungspflichtverletzung ist sie auch dann zu bejahen, wenn die be- troffene Person bereits einmal untergetaucht ist, durch unglaubwürdige und widersprüchliche Angaben die Vollzugsbemühungen zu erschweren ver-</w:t>
      </w:r>
    </w:p>
    <w:p>
      <w:r>
        <w:t>Urteil des Verwaltungsgerichts des Kantons Bern vom 02.04.2019, Nr. 100.2019.113U, Seite 6 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125 II 369 E. 3b/aa; BVR 2016 S. 529 E. 5.2).</w:t>
      </w:r>
    </w:p>
    <w:p>
      <w:r>
        <w:rPr>
          <w:b/>
        </w:rPr>
        <w:t>E. 4.2</w:t>
      </w:r>
    </w:p>
    <w:p>
      <w:r>
        <w:t>Der Beschwerdeführer ist bereits mehrmals untergetaucht (Oktober 2004, April 2012 und Juli 2014; vorne Bst. A). Wie die Vorinstanz zutreffend ausgeführt hat, spielt dabei keine Rolle, dass die Gerichtskasse … und die Bundesgerichtskasse während dieser Zeit über seine aktuelle Adresse verfügt haben sollen, da der Beschwerdeführer seinen Aufenthaltsort den Migrationsbehörden hätte mitteilen müssen, was er nicht getan hat. Weiter hat er bislang nur unzureichend bei der Beschaffung seiner Aus- weispapiere mitgewirkt, so dass die Behörden für seine erneute Rück- führung nach Tunesien abermals ein Ersatzreisepapier («Laissez-Passer») organisieren müssen (Anordnung Ausschaffungshaft vom 19.3.2019, unpag. Haftakten ZMG S. 2 f.; Bescheinigung vom 20.11.2003, unpag. Haftakten ZMG; Telefax vom 4.10.2004, unpag. Haftakten ZMG). Bei der Haftverhandlung hat er zudem klar zu erkennen gegeben, nicht nach Tunesien ausreisen zu wollen (vgl. Protokoll ZMG S. 2 f.). Die Ver- schleierung seiner Identität nach der Einreise in die Schweiz (Schreiben des Bundesgrenzschutzamts Weil am Rhein vom 26.4.2004, unpag. Haft- akten ZMG), das Stellen mehrerer Asylgesuche (2.1.2003, 23.11.2011 und 22.7.2014), seine Obdach- und Mittellosigkeit sowie das Fehlen von Ver- wandten in der Schweiz (Protokoll ZMG, unpag. Haftakten ZMG S. 3; Weg- weisungsverfügung vom 19.3.2019, unpag. Haftakten ZMG S. 2) sind zu- sätzliche Indizien, die für das Bestehen einer Untertauchensgefahr sprechen. Es liegen demnach hinreichend konkrete Anhaltspunkte vor, dass er sich den behördlichen Anordnungen (weiterhin) widersetzen bzw. der Ausschaffung entziehen könnte. Der Haftgrund gemäss Art. 76 Abs. 1 Bst. b Ziff. 3 und 4 AIG ist demnach erfüllt und das ZMG hat die Unter- tauchensgefahr zu Recht bejaht.</w:t>
      </w:r>
    </w:p>
    <w:p>
      <w:r>
        <w:t>Urteil des Verwaltungsgerichts des Kantons Bern vom 02.04.2019, Nr. 100.2019.113U, Seite 7</w:t>
      </w:r>
    </w:p>
    <w:p>
      <w:r>
        <w:rPr>
          <w:b/>
        </w:rPr>
        <w:t>E. 5.1</w:t>
      </w:r>
    </w:p>
    <w:p>
      <w:r>
        <w:t>Die Zulässigkeit der Ausschaffungshaft setzt ferner deren Ver- hältnismässigkeit voraus, wobei namentlich den familiären Verhältnissen der inhaftierten Person und den Umständen des Haftvollzugs Rechnung zu tragen ist (Art. 80 Abs. 4 AIG). Es ist zudem zu prüfen, ob die ausländische Person hafterstehungsfähig ist (vgl. BVR 2010 S. 541 E. 4.5.1). Der Krank- heitszustand (physischer oder psychischer Natur) Inhaftierter kann eine Ausschaffung als unzumutbar und unzulässig erscheinen lassen. Kann diese aufgrund gesundheitlicher Beeinträchtigungen nicht in absehbarer Zeit vollzogen werden, bleibt für eine administrative Festhaltung kein Raum (BGer 2A.328/2003 vom 22.7.2003 E. 2.3). Dabei handelt es sich jedoch um eine Ausnahmesituation. In der Regel können körperlich oder psychisch Kranke ausgeschafft werden (Thomas Hugi Yar, Zwangsmassnahmen im Ausländerrecht, in Uebersax et al. [Hrsg.], Ausländerrecht, 2. Aufl. 2009, N. 10.165). Der Vollzug der Wegweisung kann sich als unzumutbar er- weisen, wenn eine notwendige medizinische Behandlung im Heimatland nicht zur Verfügung steht und die Rückkehr zu einer raschen und lebensge- fährlichen Beeinträchtigung des Gesundheitszustands Betroffener führt. Dabei wird als wesentlich die allgemeine und dringende medizinische Be- handlung erachtet, welche zur Gewährleistung einer menschenwürdigen Existenz absolut notwendig ist. Der Vollzug ist jedoch nicht bereits dann unzumutbar, wenn im Heimat- oder Herkunftsstaat eine nicht dem schweizerischen Standard entsprechende medizinische Behandlung mög- lich ist. Ist die notwendige Behandlung im Heimat- oder Herkunftsstaat sichergestellt, ist der Vollzug der Wegweisung als zumutbar zu beurteilen (vgl. BGE 139 II 393 E. 6; hinsichtlich Art. 83 Abs. 4 AIG etwa BVGer D- 1763/2011 vom 24.5.2013 E. 6.5; zum Ganzen VGE 2016/95 vom 4.5.2016 E. 4.3).</w:t>
      </w:r>
    </w:p>
    <w:p>
      <w:r>
        <w:rPr>
          <w:b/>
        </w:rPr>
        <w:t>E. 5.2</w:t>
      </w:r>
    </w:p>
    <w:p>
      <w:r>
        <w:t>Gemäss ärztlichem Befund leidet der Beschwerdeführer an einer Leberzirrhose infolge einer chronischen Hepatitis C-Erkrankung sowie an Schuppenflechten (Protokoll ZMG S. 2 f.; Arztzeugnisse vom 2.2.2015, 26.2.2016 und 31.5.2018 sowie Terminbestätigung Inselspital vom 12.2.2019, unpag. Haftakten ZMG). Nach eigenen Angaben helfe gegen die Zirrhose nur eine Chemotherapie oder eine Transplantation (Protokoll</w:t>
      </w:r>
    </w:p>
    <w:p>
      <w:r>
        <w:t>Urteil des Verwaltungsgerichts des Kantons Bern vom 02.04.2019, Nr. 100.2019.113U, Seite 8 ZMG S. 3). – Es ist weder ersichtlich noch dargetan, dass die notwendige medizinische Versorgung während der Haft nicht gewährleistet wäre, steht der Beschwerdeführer doch bereits mit dem medizinischen Dienst des Re- gionalgefängnisses in Kontakt (Protokoll ZMG S. 4). An der Haftver- handlung bezeichnete er die Haftbedingungen zudem als «tiptop» (Proto- koll ZMG S. 4). Der Gesundheitszustand des Beschwerdeführers steht der Haft somit nicht entgegen. Sollte sich seine gesundheitliche Verfassung in- des tatsächlich verschlechtert haben, wie er geltend macht, ist eine Ver- legung in die Bewachungsstation des Inselspitals in Erwägung zu ziehen (VGE 2015/264 vom 10.9.2015 E. 5.2). Die Ausschaffungshaft erweist sich demnach als geeignet, erforderlich und zumutbar. In Bezug auf die Rück- führung wird der MIDI indes abzuklären haben, ob die gesundheitliche Ver- sorgung des Beschwerdeführers in seinem Heimatland möglich ist. Nur wenn dies der Fall ist, ist auch der Vollzug der Wegweisung zulässig. Zum jetzigen Zeitpunkt besteht jedenfalls (noch) kein Grund zur Annahme, der Beschwerdeführer könnte in Tunesien nicht medizinisch behandelt werden. Weitere Haftbeendigungsgründe sind weder geltend gemacht noch ersicht- lich (Art. 80 Abs. 6 AIG).</w:t>
      </w:r>
    </w:p>
    <w:p>
      <w:r>
        <w:rPr>
          <w:b/>
        </w:rPr>
        <w:t>E. 5.3</w:t>
      </w:r>
    </w:p>
    <w:p>
      <w:r>
        <w:t>Mit Blick auf die festgestellte Untertauchensgefahr (vorne E. 4.2) ist auch keine mildere taugliche Massnahme als die Inhaftierung ersichtlich. Gestützt auf das bisherige Verhalten des Beschwerdeführers ist davon aus- zugehen, dass er sich der Ausschaffung entziehen würde. Haftalternativen wie eine regelmässige Meldepflicht bei den Migrationsbehörden (Art. 64e Bst. a AIG) oder die Eingrenzung auf ein bestimmtes Gebiet (Art. 74 Abs. 1 Bst. b AIG) kommen daher nicht in Betracht (vgl. dazu BGer 2C_722/2015 vom 29.10.2015 E. 3.2; ferner BGer 2C_787/2014 vom 29.9.2014 E. 2.2; VGE 2017/85 vom 30.3.2017 [bestätigt durch BGer 2C_400/2017 vom 3.5.2017] E. 5.1, je mit Hinweis auf die Richtlinie 2008/115/EG des Euro- päischen Parlaments und des Rats vom 16. Dezember 2008 über ge- meinsame Normen und Verfahren in den Mitgliedstaaten zur Rückführung illegal aufhältiger Drittstaatsangehöriger [sog. «Rückführungsrichtlinie»; ABl. L 348 vom 24.12.2008 S. 98 ff.]).</w:t>
      </w:r>
    </w:p>
    <w:p>
      <w:r>
        <w:t>Urteil des Verwaltungsgerichts des Kantons Bern vom 02.04.2019, Nr. 100.2019.113U, Seite 9</w:t>
      </w:r>
    </w:p>
    <w:p>
      <w:r>
        <w:rPr>
          <w:b/>
        </w:rPr>
        <w:t>E. 5.4</w:t>
      </w:r>
    </w:p>
    <w:p>
      <w:r>
        <w:t>Des Weiteren überschreitet die Ausschaffungshaft die Dauer von sechs Monaten nicht (vgl. Art. 79 Abs. 1 AIG). Schliesslich bestehen auch keine Anzeichen dafür, dass die Behörden den Wegweisungsvollzug nicht mit dem nötigen Nachdruck verfolgen würden (Beschleunigungsgebot, Art. 76 Abs. 4 AIG). Der MIDI ist momentan damit beschäftigt einen Sonderflug zu organisieren, da er aufgrund des bisherigen Verhaltens des Beschwerdeführers davon ausgeht, dieser werde den ersten Aus- schaffungsversuch (DEPU Flug) verweigern (vorne Bst. A; Anordnung Aus- schaffungshaft vom 19.3.2019, unpag. Haftakten ZMG S. 3). Weiter haben die tunesischen Behörden dem Beschwerdeführer bereits wegen einer im Jahr 2008 erfolgten Ausschaffung einen «Laissez-Passer» ausgestellt, so dass ein solcher erneut erhältlich sein sollte (Anordnung Ausschaffungshaft vom 19.3.2019, unpag. Haftakten ZMG S. 3).</w:t>
      </w:r>
    </w:p>
    <w:p>
      <w:r>
        <w:rPr>
          <w:b/>
        </w:rPr>
        <w:t>E. 6</w:t>
      </w:r>
    </w:p>
    <w:p>
      <w:r>
        <w:t>Nach dem Gesagten hält der Entscheid des ZMG vom 20. März 2019 der Rechtskontrolle stand. Die Beschwerde erweist sich als unbegründet und ist abzuweisen. Bei diesem Ausgang des Verfahrens wird der Beschwerde- führer kostenpflichtig (Art. 108 Abs. 1 VRPG). Parteikosten sind keine zu sprechen (Art. 108 Abs. 3 i.V.m.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