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2015 126 vom 31. Januar 2017</w:t>
      </w:r>
    </w:p>
    <w:p>
      <w:r>
        <w:t>BE Verwaltungsgericht, 2017-01-31, DE</w:t>
      </w:r>
    </w:p>
    <w:p>
      <w:r>
        <w:rPr>
          <w:b/>
        </w:rPr>
        <w:t xml:space="preserve">Quelle: </w:t>
      </w:r>
      <w:r>
        <w:t>https://mcp.opencaselaw.ch/entscheid/be_verwaltungsgericht_100_2015_126</w:t>
      </w:r>
    </w:p>
    <w:p>
      <w:r>
        <w:t>FR: BE_VERWALTUNGSGERICHT 100 2015 126 du 31 janvier 2017</w:t>
      </w:r>
    </w:p>
    <w:p>
      <w:r>
        <w:t>IT: BE_VERWALTUNGSGERICHT 100 2015 126 del 31 gennaio 2017</w:t>
      </w:r>
    </w:p>
    <w:p>
      <w:pPr>
        <w:pStyle w:val="Heading2"/>
      </w:pPr>
      <w:r>
        <w:t>Regeste</w:t>
      </w:r>
    </w:p>
    <w:p>
      <w:r>
        <w:t>Kantons- und Gemeindesteuern sowie direkte Bundessteuer 2010 (Entscheide der Steuerrekurskommission des Kantons Bern vom 17. März 2015 - 100 13 308, 200 13 252) | Einkommen/Gewinn Bund</w:t>
      </w:r>
    </w:p>
    <w:p>
      <w:pPr>
        <w:pStyle w:val="Heading2"/>
      </w:pPr>
      <w:r>
        <w:t>Erwägungen</w:t>
      </w:r>
    </w:p>
    <w:p>
      <w:r>
        <w:rPr>
          <w:b/>
        </w:rPr>
        <w:t>E. 1.1</w:t>
      </w:r>
    </w:p>
    <w:p>
      <w:r>
        <w:t>Das Verwaltungsgericht ist zur Beurteilung der Beschwerden als letzte kantonale Instanz gemäss Art. 74 Abs. 1 i.V.m. Art. 76 und 77 des Gesetzes vom 23. Mai 1989 über die Verwaltungsrechtspflege (VRPG; BSG 155.21) zuständig (vgl. auch Art. 201 Abs. 1 des Steuergesetzes vom 21. Mai 2000 [StG; BSG 661.11] und Art. 145 Abs. 1 des Bundesgesetzes vom 14. Dezember 1990 über die direkte Bundessteuer [DBG; SR 642.11] sowie Art. 9 Abs. 3 der Verordnung vom 18. Oktober 2000 über den Voll- zug der direkten Bundessteuer [BStV; BSG 668.11]).</w:t>
      </w:r>
    </w:p>
    <w:p>
      <w:r>
        <w:t>Urteil des Verwaltungsgerichts des Kantons Bern vom 31.01.2017, Nrn. 100.2015.126/ 127U, Seite 4</w:t>
      </w:r>
    </w:p>
    <w:p>
      <w:r>
        <w:rPr>
          <w:b/>
        </w:rPr>
        <w:t>E. 1.2</w:t>
      </w:r>
    </w:p>
    <w:p>
      <w:r>
        <w:t>Zur Verwaltungsgerichtsbeschwerde ist befugt, wer am vorinstanz- lichen Verfahren teilgenommen hat, durch die angefochtenen Entscheide besonders berührt ist und ein schutzwürdiges Interesse an deren Auf- hebung oder Änderung hat (Art. 79 Abs. 1 VRPG; vgl. auch Art. 201 Abs. 2 StG sowie Art. 145 Abs. 2 i.V.m. Art. 140 Abs. 1 DBG). Die Beschwerde- führerin ist mit ihren Anträgen im vorinstanzlichen Verfahren nicht durchge- drungen und damit formell beschwert. Ob sie auch materiell beschwert ist, d.h. ein schutzwürdiges Interesse an der Beschwerdeführung hat, ist indes fraglich.</w:t>
      </w:r>
    </w:p>
    <w:p>
      <w:r>
        <w:rPr>
          <w:b/>
        </w:rPr>
        <w:t>E. 1.2.1</w:t>
      </w:r>
    </w:p>
    <w:p>
      <w:r>
        <w:t>Ein schutzwürdiges Interesse liegt vor, wenn die tatsächliche oder rechtliche Situation der betroffenen Person durch den Ausgang des Verfah- rens beeinflusst werden kann, so dass von der Abwendung eines materiel- len oder ideellen Nachteils gesprochen werden kann (vgl. BVR 2015 S. 534 E. 2.1 mit Hinweisen; Richner/Frei/Kaufmann/Meuter, Handkommentar zum DBG, 3. Aufl. 2016, Art. 140 N. 11, Art. 132 N. 12 ff. mit Hinweisen; Zweifel/Casanova, Schweizerisches Steuerverfahrensrecht, Direkte Steuern, 2008, § 24 N. 22 f.; VGE 23057/23058 vom 30.1.2009, in StE 2009 B 13.1 Nr. 16 E. 2.2; je auch zum Nachfolgenden). Dieses Rechtsschutzinteresse liegt auf der Hand, wenn die steuerpflichtige Person eine tiefere Steuerbelastung anstrebt, nicht aber im umgekehrten Fall: Wird eine Abänderung der Steuerfaktoren zum eigenen Nachteil beantragt, fehlt es in der Regel an einem schutzwürdigen Interesse. Das Interesse an einer Höherveranlagung wird nur ausnahmsweise bejaht, wenn sich die Höherveranlagung gesamthaft als günstiger erweist, namentlich im Zusammenhang mit einer aktuellen oder virtuellen Doppelbesteuerung oder Konkurrenz der ordentlichen Besteuerung mit einer Sonderbesteuerung, oder zur Abwendung eines Nachsteuer- oder Hinterziehungsverfahrens (vgl. BVR 1993 S. 446 E. 1b f.; VGer ZH 27.6.2012 [SB.2012.00019] E. 2.1; OGer AG 26.6.2014, in AGVE 2014 S. 292 E. 2.1.1; vgl. auch BGer 2C_39/2014 und 2C_40/2014 vom 25.2.2014 E. 2.2 ff., 2C_490/2013 vom 29.1.2014 E. 1.1, 2C_292/2009 und 2C_293/2009 vom 26.3.2010 E. 1.3). Das Verwaltungsgericht prüft die Beschwerdebefugnis als Prozessvoraussetzung von Amtes wegen (Art. 20a VRPG). Es ist jedoch Sache der Beschwerdeführerin oder des Beschwerdeführers, die</w:t>
      </w:r>
    </w:p>
    <w:p>
      <w:r>
        <w:t>Urteil des Verwaltungsgerichts des Kantons Bern vom 31.01.2017, Nrn. 100.2015.126/ 127U, Seite 5</w:t>
      </w:r>
    </w:p>
    <w:p>
      <w:r>
        <w:t>Umstände darzutun, die das Rechtsschutzinteresse begründen (BVR 2015 S. 534 E. 2.1 mit Hinweisen).</w:t>
      </w:r>
    </w:p>
    <w:p>
      <w:r>
        <w:rPr>
          <w:b/>
        </w:rPr>
        <w:t>E. 1.2.2</w:t>
      </w:r>
    </w:p>
    <w:p>
      <w:r>
        <w:t>Die StRK hat in Übereinstimmung mit der Steuerverwaltung erkannt, dass die von der Beschwerdeführerin als «Beteiligung D.________ USA» aktivierten Zahlungen einzig im (privaten) Interesse der Anteilsinhaberin bzw. des Anteilsinhabers getätigt worden seien. Hintergrund sei die Finanzierung des durch die D.________ LLC realisierten Spielfilms «…», in welchem der Sohn der Aktionärin und des Aktionärs, F.________, die Hauptrolle gespielt habe. Die Höhe der geleisteten Zahlungen entspräche den Leistungen, welche die F.________ gehörende E.________ LLC gestützt auf vertragliche Abmachungen mit der D.________ LLC über die Finanzierung, Produktion, Vermarktung und den Vertrieb des Films habe erbringen müssen. Die Beschwerdeführerin habe somit anstelle der E.________ LLC die (Vor-)Finanzierung des Films übernommen. Weil dies ohne vertragliche Grundlage, ohne jegliche Sicherheiten und ohne Zinsvereinbarungen geschehen sei, vermöge das Geschäft einem Drittvergleich nicht standzuhalten und sei in diesem Umfang von einer geldwerten Leistung der Beschwerdeführerin an ihre Anteilsinhaberin und ihren Anteilsinhaber auszugehen. Entsprechend dieser Einschätzung setzten die Vorinstanzen das steuerbare Kapital der Beschwerdeführerin um den Betrag der als fiktiv erachteten «Beteiligung D.________ USA» herab. Auf den steuerbaren Gewinn des Unternehmens wirkten sich diese Korrekturen nicht aus (vgl. Reto Heuberger, Die verdeckte Gewinnausschüttung aus Sicht des Aktienrechts und des Gewinnsteuerrechts, Diss. Bern 2001, S. 289 ff.). Die Beschwerdeführerin räumt ein, dass die als «Beteiligung D.________ USA» ausgewiesene Position falsch bezeichnet worden sei; in Wirklichkeit handle es sich um ein Darlehen an die E.________ LLC. Ebenfalls bestätigt sie, dass die Zahlungen in Zusammenhang stünden mit den zwischen der D.________ LLC und der E.________ LLC geschlossenen Verträgen, wobei die Leistungen «der Einfachheit halber» direkt an Erstere erbracht worden seien. Die Beschwerdeführerin macht indes geltend, dass das Darlehen zugunsten der E.________ LLC einem Drittvergleich standhalte, weshalb die steuerlichen Korrekturen rückgängig zu machen und die (versehentlich) nicht erfolgten Zinszahlungen aufzurechnen seien. Mit ihren Begehren zielt</w:t>
      </w:r>
    </w:p>
    <w:p>
      <w:r>
        <w:t>Urteil des Verwaltungsgerichts des Kantons Bern vom 31.01.2017, Nrn. 100.2015.126/ 127U, Seite 6 die Beschwerdeführerin somit sowohl auf eine Erhöhung ihres steuerbaren Kapitals als auch des steuerbaren Gewinns ab. Wie dargelegt, besteht ein schutzwürdiges Interesse an einer Höherveranlagung nur in Ausnahmefällen (E. 1.2.1 hiervor). Ein solches wird von der Beschwerdeführerin nicht dargetan und ergibt sich auch nicht aus den konkreten Umständen (E. 1.2.3 hiernach).</w:t>
      </w:r>
    </w:p>
    <w:p>
      <w:r>
        <w:rPr>
          <w:b/>
        </w:rPr>
        <w:t>E. 1.2.3</w:t>
      </w:r>
    </w:p>
    <w:p>
      <w:r>
        <w:t>Der formellen und materiellen Rechtskraft einer Verfügung zugäng- lich ist die Entscheidformel (das Dispositiv), nicht aber die Sachverhalts- feststellungen oder die Erwägungen zur Rechtslage (die Motive). Aus die- sem Grund kann grundsätzlich nur das Dispositiv Bindungswirkung ent- falten, sodass auch nur dieses anfechtbar ist (BGE 140 I 114 E. 2.4.2; BVR 2016 S. 237 E. 4.1, Merkli/Aeschlimann/Herzog, Kommentar zum bernischen VRPG, 1997, Art. 52 N. 12, Art. 72 N. 4). Im Steuerrecht be- deutet dies, dass (nur) die Steuerfaktoren (bei juristischen Personen der steuerbare Reingewinn und das steuerbare Kapital) an der Rechtskraft teilhaben, während die Erwägungen, die zum Dispositiv führen, lediglich die Bedeutung von Motiven haben. Die tatsächlichen und die rechtlichen Ver- hältnisse, auf denen eine rechtskräftige Veranlagung beruht, können in einer späteren Periode abweichend beurteilt werden (BGE 140 I 114 E. 2.4.3). Demnach wird die Höhe der dem steuerbaren Kapital zugrunde liegenden Einzelpositionen bzw. deren rechtliche Qualifikation nicht rechts- kräftig festgesetzt. Zwar ist davon auszugehen, dass die Steuerverwaltung allfällige spätere Abschreibungen, Rückstellungen oder Wertberichtigungen auf der «Beteiligung D.________ USA» mangels geschäftsmässiger Begründetheit nicht zulassen bzw. aufrechnen wird (vgl. Reto Heuberger, a.a.O., S. 290 f.). Darüber wird aber zu einem späteren Zeitpunkt und nicht bereits bei der Bildung der Negativ-Reserve entschieden (vgl. VGer ZH 27.6.2012 [SB.2012.00019] E. 2.2; OGer AG 26.6.2014, in AGVE 2014 S. 292 E. 2.1.2 je auch zum Nachfolgenden; vgl. auch BGer 2C_1082/2014 vom 29.9.2016 E. 2.3 f.). Entsprechend wird die Beschwerdeführerin ihre Rechte allenfalls in späteren Steuerperioden wahren können, falls die streitige Vorgehensweise dannzumal von praktischer Bedeutung sein sollte. Ein Rechtsschutzinteresse der Beschwerdeführerin ergibt sich auch nicht im Hinblick auf mögliche Verrechnungssteuerfolgen. Angesichts ihres Sicherungszwecks bestehen zwar zwischen der Verrechnungssteuer und</w:t>
      </w:r>
    </w:p>
    <w:p>
      <w:r>
        <w:t>Urteil des Verwaltungsgerichts des Kantons Bern vom 31.01.2017, Nrn. 100.2015.126/ 127U, Seite 7</w:t>
      </w:r>
    </w:p>
    <w:p>
      <w:r>
        <w:t>den Gewinn- und Kapitalsteuern der Kantone bzw. der direkten Bundessteuer verschiedene Überschneidungen, so etwa was den Begriff der geldwerten Leistungen betrifft, der deckungsgleich verwendet wird (vgl. BGer 2C_349/2008 vom 14.11.2008, in ASA 79 S. 391 E. 2.3 [allerdings die Einkommenssteuer betreffend]; vgl. auch Markus Reich, Steuerrecht,</w:t>
      </w:r>
    </w:p>
    <w:p>
      <w:r>
        <w:rPr>
          <w:b/>
        </w:rPr>
        <w:t>E. 1.3</w:t>
      </w:r>
    </w:p>
    <w:p>
      <w:r>
        <w:t>Zusammenfassend besteht somit kein schutzwürdiges Interesse der Beschwerdeführerin an der Erhöhung ihrer Steuerfaktoren, weshalb auf die Beschwerden nicht einzutreten ist. Aufgrund des Gesagten steht auch fest, dass die StRK auf Rekurs und Beschwerde vom 4. Juli 2013 nicht hätte eintreten dürfen (vgl. Art. 86 Abs. 1 i.V.m. Art. 65 Abs. 1 VRPG; vgl. auch Art. 195 Abs. 2 StG sowie Art. 140 Abs. 1 DBG). Das zu Unrecht erfolgte Eintreten der StRK bleibt jedoch im Ergebnis folgenlos, weshalb sich kassatorische Anordnungen erübrigen (vgl. BVR 2008 S. 1 E. 2.5 f.; VGE 2015/161 vom 7.4.2016 E. 4).</w:t>
      </w:r>
    </w:p>
    <w:p>
      <w:r>
        <w:t>Urteil des Verwaltungsgerichts des Kantons Bern vom 31.01.2017, Nrn. 100.2015.126/ 127U, Seite 8</w:t>
      </w:r>
    </w:p>
    <w:p>
      <w:r>
        <w:rPr>
          <w:b/>
        </w:rPr>
        <w:t>E. 2</w:t>
      </w:r>
    </w:p>
    <w:p>
      <w:r>
        <w:t>Die Kosten des Verfahrens vor dem Verwaltungsgericht, bestimmt auf eine Pauschalgebühr von Fr. 3'500.--, werden der Beschwerdeführerin auferlegt.</w:t>
      </w:r>
    </w:p>
    <w:p>
      <w:r>
        <w:rPr>
          <w:b/>
        </w:rPr>
        <w:t>E. 3</w:t>
      </w:r>
    </w:p>
    <w:p>
      <w:r>
        <w:t>Es werden keine Parteikosten gesprochen.</w:t>
      </w:r>
    </w:p>
    <w:p>
      <w:r>
        <w:rPr>
          <w:b/>
        </w:rPr>
        <w:t>E. 4</w:t>
      </w:r>
    </w:p>
    <w:p>
      <w:r>
        <w:t>Zu eröffnen: - der Beschwerdeführerin - der Steuerverwaltung des Kantons Bern - der Steuerrekurskommission des Kantons Bern - der Eidgenössischen Steuerverwaltung Das präsidierende Mitglied: Die Gerichtsschreiberin:</w:t>
      </w:r>
    </w:p>
    <w:p>
      <w:r>
        <w:t>Urteil des Verwaltungsgerichts des Kantons Bern vom 31.01.2017, Nrn. 100.2015.126/ 127U, Seite 9</w:t>
      </w:r>
    </w:p>
    <w:p>
      <w:r>
        <w:t>Rechtsmittelbelehrung Gegen dieses Urteil kann innert 30 Tagen seit Zustellung der schriftlichen Begrün- dung beim Bundesgericht, 1000 Lausanne 14, Beschwerde in öffentlich-rechtlichen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