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331 vom 7. Mai 2015</w:t>
      </w:r>
    </w:p>
    <w:p>
      <w:r>
        <w:t>BE Verwaltungsgericht, 2015-05-07, DE</w:t>
      </w:r>
    </w:p>
    <w:p>
      <w:r>
        <w:rPr>
          <w:b/>
        </w:rPr>
        <w:t xml:space="preserve">Quelle: </w:t>
      </w:r>
      <w:r>
        <w:t>https://mcp.opencaselaw.ch/entscheid/be_verwaltungsgericht_100_2014_331</w:t>
      </w:r>
    </w:p>
    <w:p>
      <w:r>
        <w:t>FR: BE_VERWALTUNGSGERICHT 100 2014 331 du 7 mai 2015</w:t>
      </w:r>
    </w:p>
    <w:p>
      <w:r>
        <w:t>IT: BE_VERWALTUNGSGERICHT 100 2014 331 del 7 maggio 2015</w:t>
      </w:r>
    </w:p>
    <w:p>
      <w:pPr>
        <w:pStyle w:val="Heading2"/>
      </w:pPr>
      <w:r>
        <w:t>Regeste</w:t>
      </w:r>
    </w:p>
    <w:p>
      <w:r>
        <w:t>Verweigerung der schriftenpolizeilichen Anmeldung (Entscheid des Regierungsstatthalteramts Thun vom 15. Oktober 2014 - vbv 7/2014)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teilgenommen, sind durch den angefochtenen Entscheid besonders berührt und haben ein schutzwürdiges Interesse an dessen Aufhebung oder Änderung.</w:t>
      </w:r>
    </w:p>
    <w:p>
      <w:r>
        <w:rPr>
          <w:b/>
        </w:rPr>
        <w:t>E. 1.2</w:t>
      </w:r>
    </w:p>
    <w:p>
      <w:r>
        <w:t>Gemäss Art. 81 Abs. 1 i.V.m. Art. 32 Abs. 2 VRPG müssen Parteieingaben einen Antrag, die Angabe von Tatsachen und Beweismitteln, eine Begründung sowie eine Unterschrift enthalten. Vorliegend ergibt sich aus dem Zusammenhang und unter Zuhilfenahme der Begründung der sinngemässe Antrag, dass der angefochtene Entscheid aufzuheben und die EG D.________ anzuweisen sei, die schriftenpolizeiliche Anmeldung vorzunehmen. Unter Berücksichtigung der herabgesetzten Anforderungen an eine Laieneingabe ist damit ein den Vorgaben von Art. 32 Abs. 2 VRPG genügender Antrag gestellt (vgl. BVR 1993 S. 394 E. 1b; VGE 2012/292 vom 24.4.2013, E. 1.2; 2012/36 vom 15.5.2012. E. 3.2; Merkli/Aeschlimann/Herzog, Kommentar zum bernischen VRPG, 1997, Art. 32 N. 13). Auf die form- und fristgerecht eingereichte Beschwerde ist einzutreten.</w:t>
      </w:r>
    </w:p>
    <w:p>
      <w:r>
        <w:rPr>
          <w:b/>
        </w:rPr>
        <w:t>E. 1.3</w:t>
      </w:r>
    </w:p>
    <w:p>
      <w:r>
        <w:t>Das Verwaltungsgericht überprüft den angefochtenen Entscheid auf Rechtsverletzungen hin (Art. 80 VRPG).</w:t>
      </w:r>
    </w:p>
    <w:p>
      <w:r>
        <w:rPr>
          <w:b/>
        </w:rPr>
        <w:t>E. 2.1</w:t>
      </w:r>
    </w:p>
    <w:p>
      <w:r>
        <w:t>Die Vorinstanz hat einen Anspruch der Beschwerdeführer auf die schriftenpolizeiliche Anmeldung in der EG D.________ verneint. Sie stützt sich dabei auf das Gesetz vom 12. September 1985 über Niederlassung und Schweizer (GNA; BSG 122.11). Demnach haben sich diejenigen Personen zur Niederlassung anzumelden, die in eine Gemeinde einziehen, in der sie dauernd zu bleiben beabsichtigen oder wo sich der Mittelpunkt ihrer Lebensbeziehungen befindet (Art. 3 Abs. 1 GNA); wer für länger als drei Monate in eine Gemeinde einzieht, die Voraussetzungen für die Niederlassung aber nicht erfüllt, meldet sich zum Aufenthalt an (Art. 4 Abs. 1 GNA). Diesbezüglich hat die Vorinstanz erwogen, dass die Beschwerdeführer weder die EG D.________ als Mittelpunkt ihrer Lebensbeziehungen gewählt noch die Absicht dauernden Verbleibs nachgewiesen hätten (E. 4 und 11). Demgegenüber halten die Beschwerdeführer sinngemäss dafür, dass sie als Schwei-</w:t>
      </w:r>
    </w:p>
    <w:p>
      <w:r>
        <w:t>zer Staatsangehörige (vorbehaltlos) Anspruch auf Wohnsitznahme in der EG D.________ hätten; die Verweigerung der schriftenpolizeilichen Anmeldung verletze die Niederlassungsfreiheit (Beschwerde S. 1).</w:t>
      </w:r>
    </w:p>
    <w:p>
      <w:r>
        <w:rPr>
          <w:b/>
        </w:rPr>
        <w:t>E. 2.2</w:t>
      </w:r>
    </w:p>
    <w:p>
      <w:r>
        <w:t>Die Niederlassungsfreiheit (Art. 24 der Bundesverfassung [BV; SR 101]; Art. 16 der Verfassung des Kantons Bern [KV; BSG 101.1]) gewährleistet Schweizerbürgerinnen und Schweizerbürgern die Möglichkeit persönlichen Verweilens an jedem beliebigen Ort in der Schweiz. «Niederlassen» verlangt nicht Wohnsitznahme; ein vorübergehender Aufenthalt genügt, sofern er von einer gewissen Dauer ist (BGE 93 I 17 E. 4; Jörg Paul Müller/Markus Schefer, Grundrechte in der Schweiz,</w:t>
      </w:r>
    </w:p>
    <w:p>
      <w:r>
        <w:rPr>
          <w:b/>
        </w:rPr>
        <w:t>E. 2.3</w:t>
      </w:r>
    </w:p>
    <w:p>
      <w:r>
        <w:t>Auch Minderjährige sind Träger der Niederlassungsfreiheit. Bei einem Kind, dessen Eltern keinen gemeinsamen Wohnsitz haben, beide Elternteile jedoch Inhaber der elterlichen Sorge und zugleich obhutsberechtigt sind, kann für die Beurteilung der schriftenpolizeilichen Niederlassung auf Art. 25 Abs. 1 ZGB abgestellt werden. Demnach gilt als (zivilrechtlicher) Wohnsitz der Aufenthaltsort des Kindes, d.h. derjenige Ort, zu dem das Kind die engsten Beziehungen aufweist, beispielsweise am Ort der Einschulung (BGE 133 III 305 E. 3.3.1; BVR 2006 S. 34 E. 2.2.3; Urteil LE140020 des Obergerichts des Kantons Zürich vom 20.11.2014, E. III.C.1). 3. 3.1 In den Jahren 2005/2006 wanderte die Familie … nach Thailand, dem Heimatland der Mutter, aus. Der Vater ist seit 2011 wieder in der EG D.________ angemeldet und hält sich regelmässig dort auf. Die minderjährigen Beschwerdeführer wohnen indessen nach wie vor bei der Mutter in Thailand. Einige Monate pro Jahr verbringt der Vater ebenfalls in Thailand bei seiner Familie (Beschwerde vom 16.5.2014, Art. 1, bei den Akten RSA). Soweit bekannt, sind nach wie vor beide Elternteile sorge- und obhutsberechtigt. Nachdem sie die obligatorische Schulzeit in Thailand absolviert haben, besuchen die Beschwerdeführer nun ein dortiges Internat (Stellungnahme vom 11.7.2014, S. 1, bei den Akten RSA). Während ihrer Schulferien kommen sie regelmässig in die Schweiz, um ihren Vater zu besuchen; dabei handelt es sich um Aufenthalte von insgesamt zwei bis drei Monaten pro Jahr (Beschwerde S. 3). Gemäss eigenen, unbelegt gebliebenen Angaben absolviert der Beschwerdeführer 1 mittlerweile Schnupperlehren in der Schweiz, da die Ausbildungsmöglichkeiten in der Schweiz aussichtsreicher seien als in Thailand. 3.2 Den Beschwerdeführern ist insofern zuzustimmen, als dass sie sich als Schweizer Staatsangehörige auf die verfassungsrechtlich garantierte Niederlassungsfreiheit berufen und sich folglich jederzeit in der Schweiz niederlassen und schriftenpolizeilich anmelden können, sofern sie beabsichtigen, ihr Leben künftig in der Schweiz zu verbringen. Wie dargelegt (vgl. vorne E. 2.2 f.), bedingt die Anmeldung allerdings die Erfüllung gewisser Voraussetzungen, nämlich die Absicht des dauernden Verbleibens oder die Begründung des Lebensmittelpunktes in der Gemeinde. Die</w:t>
      </w:r>
    </w:p>
    <w:p>
      <w:r>
        <w:t>Vorinstanz hat richtig erkannt, dass eine solche Absicht von den Beschwerdeführern in keiner Weise dargetan wird. Vielmehr lassen die aktenkundigen Umstände darauf schliessen, dass sich ihr Lebensmittelpunkt in Thailand befindet, wo sie sich den überwiegenden Teil des Jahres aufhalten und nach wie vor die Schule besuchen. In die Schweiz kommen sie nur sporadisch während der unterrichtsfreien Zeit in Thailand und für eine relativ kurze Dauer von jeweils einigen wenigen Wochen. Dies soll offenbar vorerst auch so bleiben; Gegenteiliges wird von den Beschwerdeführern jedenfalls nicht vorgebracht und ist aus den Akten auch nicht ersichtlich. Insbesondere legen die Beschwerdeführer nicht dar, dass sie in der Schweiz leben wollen. Sodann scheint auch die Wohnung des Vaters in D.________ sowohl bezüglich Grösse als auch Ausstattung nicht auf einen dauerhaften Aufenthalt der Beschwerdeführer ausgerichtet zu sein (vgl. Beschwerdebeilage [act. 1C]). Wie die Vorinstanz zutreffend ausgeführt hat und die Beschwerdeführer nicht substantiiert in Abrede stellen (vgl. Beschwerde, S. 3), haben demnach ihre mehrwöchigen Aufenthalte in D.________ lediglich Besuchs- bzw. Feriencharakter. Daran vermögen die behaupteten mehrtägigen oder allenfalls mehrwöchigen Schnupperlehren nichts zu ändern. Anders würde sich die Sachlage gestalten, wenn die Beschwerdeführer tatsächlich in der Schweiz leben wollen und beispielsweise über eine feste Lehrstelle verfügen oder hier eine (weiterführende) Schule besuchen würden. Aufgrund der aktenkundigen Umstände ist die Vorinstanz zu Recht davon ausgegangen, dass sich der Lebensmittelpunkt der Beschwerdeführer weiterhin in Thailand befindet und sie momentan nicht beabsichtigen, dauerhaft in die Schweiz zu ziehen. Von einem «Niederlassen» im Sinn von Art. 24 BV kann demnach vorliegend keine Rede sein. 3.3 Nach dem Gesagten steht fest, dass die Beschwerdeführer zurzeit die Voraussetzungen für eine Anmeldung in der EG D.________ klarerweise nicht erfüllen und ‒ zumindest vorerst ‒ auch nicht zu erfüllen beabsichtigen, weshalb ihnen die schriftenpolizeiliche Anmeldung zu Recht verweigert wurde.</w:t>
      </w:r>
    </w:p>
    <w:p>
      <w:r>
        <w:rPr>
          <w:b/>
        </w:rPr>
        <w:t>E. 4</w:t>
      </w:r>
    </w:p>
    <w:p>
      <w:r>
        <w:t>Die Beschwerdeführer rügen weiter eine Verletzung der Rechtsgleichheit (Art. 8 BV). Sie bringen vor, dass gewissen pauschalbesteuerten Ausländern «der Wohnsitz einfach gegeben wird» und es keine Rolle spiele, ob diese in der Schweiz lebten (Beschwerde S. 2). ‒ Rechtsanwendende Behörden sind gehalten, Sachverhalte, die sich durch gleiche (oder zumindest ähnliche) wesentliche Tatsachen auszeichnen, gleich zu behandeln, es sei denn, ein sachlicher und vernünftiger Grund rechtfertige eine unterschiedliche Behandlung (statt vieler Rainer J. Schweizer, in Ehrenzeller/Schindler/Schweizer/Vallender [Hrsg.], Die schweizerische Bundesverfassung, St. Galler Kommentar, 3. Aufl. 2014, Art. 8 BV N. 42 mit</w:t>
      </w:r>
    </w:p>
    <w:p>
      <w:r>
        <w:t>Hinweisen). Vorliegend begnügen sich die Beschwerdeführer mit der nicht belegten Behauptung, dass bei gewissen Ausländern nicht überprüft werde, wo sich deren Lebensmittelpunkt befinde. Insbesondere versäumen sie es, konkret darzulegen, inwiefern sie sich in einer vergleichbaren Situation befinden würden, sodass von einer nicht gerechtfertigten Ungleichbehandlung gesprochen werden könnte. Aus dieser nicht substantiierten pauschalen Behauptung können die Beschwerdeführer nichts zu ihren Gunsten ableiten.</w:t>
      </w:r>
    </w:p>
    <w:p>
      <w:r>
        <w:rPr>
          <w:b/>
        </w:rPr>
        <w:t>E. 5</w:t>
      </w:r>
    </w:p>
    <w:p>
      <w:r>
        <w:t>Die Beschwerde erweist sich somit als offensichtlich unbegründet und ist abzuweisen. Das Verwaltungsgericht beurteilt solche Rechtsmittel in Zweierbesetzung (Art. 56 Abs. 3 des Gesetzes vom 11. Juni 2009 über die Organisation der Gerichtsbehörden und der Staatsanwaltschaft [GSOG; BSG 161.1]).</w:t>
      </w:r>
    </w:p>
    <w:p>
      <w:r>
        <w:rPr>
          <w:b/>
        </w:rPr>
        <w:t>E. 6</w:t>
      </w:r>
    </w:p>
    <w:p>
      <w:r>
        <w:t>Bei diesem Ausgang des Verfahrens werden die Beschwerdeführer kostenpflichtig. Parteikosten sind keine zu sprechen (Art. 108 Abs. 1 und 3 bzw.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