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228 vom 31. März 2014</w:t>
      </w:r>
    </w:p>
    <w:p>
      <w:r>
        <w:t>BE Verwaltungsgericht, 2014-03-31, DE</w:t>
      </w:r>
    </w:p>
    <w:p>
      <w:r>
        <w:rPr>
          <w:b/>
        </w:rPr>
        <w:t xml:space="preserve">Quelle: </w:t>
      </w:r>
      <w:r>
        <w:t>https://mcp.opencaselaw.ch/entscheid/be_verwaltungsgericht_100_2014_228</w:t>
      </w:r>
    </w:p>
    <w:p>
      <w:r>
        <w:t>FR: BE_VERWALTUNGSGERICHT 100 2014 228 du 31 mars 2014</w:t>
      </w:r>
    </w:p>
    <w:p>
      <w:r>
        <w:t>IT: BE_VERWALTUNGSGERICHT 100 2014 228 del 31 marzo 2014</w:t>
      </w:r>
    </w:p>
    <w:p>
      <w:pPr>
        <w:pStyle w:val="Heading2"/>
      </w:pPr>
      <w:r>
        <w:t>Regeste</w:t>
      </w:r>
    </w:p>
    <w:p>
      <w:r>
        <w:t>Verlängerung der Ausschaffungshaft (Entscheid des kantonalen Zwangsmassnahmengerichts vom 4. August 2014 - KZM 14 1054)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 Der schriftlich begründete Entscheid des ZMG vom</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Organisation der Gerichtsbehörden und der Staatsanwaltschaft [GSOG; BSG 161.1]). 2. 2.1 Im Rahmen eines Haftverlängerungsverfahrens sind erneut alle Haft- voraussetzungen zu überprüfen, da die erste Haftgenehmigung nicht in dem Sinn in materielle Rechtskraft erwächst, als einzelne Aspekte nicht mehr Verfahrensgegenstand bildeten und unabänderlich entschieden wären. Bei der Beurteilung der Haftverlängerung ist daher – selbst wenn die ausländische Person den ursprünglichen Haftgenehmigungsentscheid nicht angefochten hat – auch zu prüfen, ob der Haftgrund nach wie vor besteht bzw. tatsächlich gegeben ist; es kann dabei</w:t>
      </w:r>
    </w:p>
    <w:p>
      <w:r>
        <w:t>Urteil des Verwaltungsgerichts des Kantons Bern vom 27.08.2014, Nr. 100.2014.228U, Seite 5 indessen auf die Begründung im Haftgenehmigungsentscheid Bezug genommen werden (BGE 122 I 275 E. 3b; Thomas Hugi Yar, Zwangsmassnahmen im Ausländerrecht, in Uebersax et al. [Hrsg.], Ausländerrecht, 2. Aufl. 2009, N. 10.33; VGE 2014/55 vom 21.3.2014, E. 2.1). 2.2 Wurde ein erstinstanzlicher (nicht notwendigerweise auch rechtskräftiger) Weg- oder Ausweisungsentscheid eröffnet, kann die zuständige Behörde zur Sicherstellung des Vollzugs die ausländische Person in Ausschaffungshaft nehmen bzw. sie in dieser belassen,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 3. Das BFM hat den Beschwerdeführer mit Verfügung vom 6. Mai 2014 aus der Schweiz weggewiesen (unpag. Haftakten KZM 14 712, Ziff. 3). Die dagegen erhobene Beschwerde hat das Bundesverwaltungsgericht am 30. Mai 2014 abgewiesen. Ein Wegweisungsentscheid im Sinn von Art. 76 Abs. 1 AuG liegt somit vor, dessen Vollzug mit der Ausschaffungshaft sichergestellt werden kann.</w:t>
      </w:r>
    </w:p>
    <w:p>
      <w:r>
        <w:rPr>
          <w:b/>
        </w:rPr>
        <w:t>E. 4</w:t>
      </w:r>
    </w:p>
    <w:p>
      <w:r>
        <w:t>Das ZMG ist zum Schluss gekommen, dass der Haftgrund der (tatsächlichen) Untertauchensgefahr gemäss Art. 76 Abs. 1 Bst. b Ziff. 3 und 4 AuG weiterhin besteht. Eine solche Untertauchensgefahr liegt vor, wenn konkrete Anzeichen befürchten las- sen, dass die betroffene Person sich der Ausschaffung entziehen will, insbesondere weil sie der Mitwirkungspflicht nach Art. 90 AuG sowie Art. 8 Abs. 1 Bst. a oder Abs. 4</w:t>
      </w:r>
    </w:p>
    <w:p>
      <w:r>
        <w:t>Urteil des Verwaltungsgerichts des Kantons Bern vom 27.08.2014, Nr. 100.2014.228U, Seite 6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bereits erwähnten Fällen der Mitwirkungspflichtverletzung ist sie auch dann zu bejahen, wenn die betroffene Person bereits einmal untergetaucht ist, durch unglaubwürdige und widersprüchliche Angaben die Vollzugsbemühungen zu erschweren versucht oder sonst klar zu erkennen gibt, dass sie nicht bereit ist, in ihre Heimat zurückzukehren (BGE 130 II 56 E. 3.1; BVR 2009 S. 531 E. 3.3). Für eine Untertauchensgefahr spricht sodann, wenn die betroffene Person straffällig geworden ist, keinen festen Aufenthaltsort hat oder mittellos ist (BGer 2C_23/2012 vom 18.1.2012, E. 2.3, 2C_22/2011 vom 14.1.2011, E. 2; VGE 2014/51 vom 11.3.2014, E. 5.1). – Das ZMG hat bereits eingehend dargelegt, dass der Beschwerdeführer nicht bereit ist, nach Nigeria auszureisen (angefochtener Entscheid, S. 3), was dieser auch in seiner Beschwerde an das Verwaltungsgericht bekräftigt. Daran ändert nichts, dass der Beschwerdeführer gegebenenfalls bereit wäre, freiwillig nach Griechenland auszureisen, ist er doch hierzu nicht berechtigt (vgl. hinten E. 6.2). Sodann ist der Beschwerdeführer während seines Aufenthalts in der Schweiz strafrechtlich verurteilt worden (vorne Bst. A), was nach dem Gesagten ebenfalls für eine Unter- tauchensgefahr spricht. Anders als in der Beschwerde vom 18. August 2014 ausgeführt, hat er anlässlich der Haftüberprüfungen sodann widersprüchliche Angaben zu seiner Herkunft gemacht (vgl. Protokoll der Haftverhandlung vom 4.8.2014, unpag. Haftakten KZM 14 1054 [nachfolgend: Protokoll], S. 2; Protokoll der Haftverhandlung vom 9.5.2014, unpag. Haftakten KZM 14 712, S. 2). Das ZMG hat eine Untertauchensgefahr deshalb zu Recht (erneut) bejaht.</w:t>
      </w:r>
    </w:p>
    <w:p>
      <w:r>
        <w:rPr>
          <w:b/>
        </w:rPr>
        <w:t>E. 5</w:t>
      </w:r>
    </w:p>
    <w:p>
      <w:r>
        <w:t>Gemäss Art. 79 Abs. 1 AuG darf die Ausschaffungshaft die maximale Haftdauer von sechs Monaten nicht überschreiten. Diese Dauer kann mit Zustimmung der kantonalen richterlichen Behörde höchstens um zwölf Monate verlängert werden, unter anderem wenn die betroffene Person nicht mit der zuständigen Behörde kooperiert (Art. 79 Abs. 2 Bst. a AuG). Dabei ist die maximale Haftdauer auch bei wiederholter Inhaftierung zu beachten (Andreas Zünd, in Spescha/Thür/Zünd/Bolzli [Hrsg.], Kommentar zum Migrationsrecht, 3. Aufl. 2012, Art. 79 AuG N. 4; VGE 2014/51 vom</w:t>
      </w:r>
    </w:p>
    <w:p>
      <w:r>
        <w:t>Urteil des Verwaltungsgerichts des Kantons Bern vom 27.08.2014, Nr. 100.2014.228U, Seite 7 11.3.2014, E. 6.1). – Das ZMG hat die Verlängerung der Ausschaffungshaft bis am</w:t>
      </w:r>
    </w:p>
    <w:p>
      <w:r>
        <w:rPr>
          <w:b/>
        </w:rPr>
        <w:t>E. 7</w:t>
      </w:r>
    </w:p>
    <w:p>
      <w:r>
        <w:t>Zusammenfassend ergibt sich, dass das ZMG die Voraussetzungen für die Haftverlängerung zu Recht bejaht hat. Die Beschwerde erweist sich somit im Hauptbegehren als unbegründet und ist abzuweisen. Auch besteht kein Grund, die Sache zur Neubeurteilung an die Vorinstanz zurückzuweisen, weshalb das Eventualbegehren ebenfalls abzuweisen ist. Da die Haft des Beschwerdeführers nicht ungerechtfertigt ist, erübrigen sich sodann Weiterungen zu Entschädigungsfragen. Die Beschwerde ist auch insoweit abzuweisen. Mit Blick auf diesen Verfahrensausgang konnte auf das Einholen einer Stellungnahme des MIDI und des ZMG verzichtet werden.</w:t>
      </w:r>
    </w:p>
    <w:p>
      <w:r>
        <w:rPr>
          <w:b/>
        </w:rPr>
        <w:t>E. 8.1</w:t>
      </w:r>
    </w:p>
    <w:p>
      <w:r>
        <w:t>Bei diesem Verfahrensausgang wird der unterliegende Beschwerdeführer grundsätzlich kostenpflichtig (Art. 108 Abs. 1 VRPG). Der dem Beschwerdeführer mit Verfügung vom 12. August 2014 auf Gesuch hin beigeordnete amtliche Anwalt hat indes ein Gesuch um unentgeltliche Prozessführung gestellt (Beschwerde vom 18.8.2014, N. 24 ff.). Mit Blick auf die gewährte amtliche Verbeiständung rechtfertigt es sich, den Beschwerdeführer in Gutheissung seines Gesuchs auch von der Kostenpflicht zu befreien (Art. 111 Abs. 1 VRPG).</w:t>
      </w:r>
    </w:p>
    <w:p>
      <w:r>
        <w:rPr>
          <w:b/>
        </w:rPr>
        <w:t>E. 8.2</w:t>
      </w:r>
    </w:p>
    <w:p>
      <w:r>
        <w:t>Der tarifmässige Parteikostenersatz ist entsprechend der Kostennote des amtlichen Anwalts, welche mit Blick auf den in der Sache gebotenen Zeitaufwand, die Bedeutung der Streitsache und die Schwierigkeit des Prozesses zu keinen Bemerkungen Anlass gibt (vgl. Art. 41 Abs. 3 des Kantonalen Anwaltsgesetzes vom 28. März 2006 [KAG; BSG 168.11]), auf Fr. 2'312.50 zuzüglich Fr. 74.20 Auslagen und</w:t>
      </w:r>
    </w:p>
    <w:p>
      <w:r>
        <w:t>Urteil des Verwaltungsgerichts des Kantons Bern vom 27.08.2014, Nr. 100.2014.228U, Seite 12 Fr. 190.90 MWSt (8 % von Fr. 2'386.70), insgesamt ausmachend Fr. 2'577.60, festzusetzen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Zeitaufwands sind die Bedeutung der Streitsache und die Schwierigkeit des Prozesses zu berücksichtigen. Auslagen und Mehrwertsteuer werden zusätzlich entschädigt. Der Stundenansatz beträgt Fr. 200.-- (Art. 42 Abs. 4 KAG i.V.m. Art. 1 der Verordnung vom 20. Oktober 2010 über die Entschädigung der amtlichen Anwältinnen und Anwälte [EAV; BSG 168.711]). Bei einem massgeblichen Zeitaufwand von 9,25 Stunden ist die amtliche Entschädigung auf Fr. 1'850.-- (9,25 x Fr. 200.--) zuzüglich Fr. 74.20 Auslagen und Fr. 153.90 MWSt (8 % von Fr. 1'924.20), insgesamt ausmachend Fr. 2'078.10, festzusetzen. Der Rechtsvertreter ist vorerst aus der Gerichtskasse zu entschädigen. Der Beschwerdeführer ist zur Nachzahlung verpflichtet, sobald er dazu in der Lage ist (Art. 113 VRPG i.V.m. Art. 123 Abs. 1 der Schweizerischen Zivilprozessordnung vom 19. Dezember 2008 [Zivilprozessordnung, ZPO; SR 272]).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