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 vom 4. April 2014</w:t>
      </w:r>
    </w:p>
    <w:p>
      <w:r>
        <w:t>BE Verwaltungsgericht, 2014-04-04, DE</w:t>
      </w:r>
    </w:p>
    <w:p>
      <w:r>
        <w:rPr>
          <w:b/>
        </w:rPr>
        <w:t xml:space="preserve">Quelle: </w:t>
      </w:r>
      <w:r>
        <w:t>https://mcp.opencaselaw.ch/entscheid/be_verwaltungsgericht_100_2014_1</w:t>
      </w:r>
    </w:p>
    <w:p>
      <w:r>
        <w:t>FR: BE_VERWALTUNGSGERICHT 100 2014 1 du 4 avril 2014</w:t>
      </w:r>
    </w:p>
    <w:p>
      <w:r>
        <w:t>IT: BE_VERWALTUNGSGERICHT 100 2014 1 del 4 aprile 2014</w:t>
      </w:r>
    </w:p>
    <w:p>
      <w:pPr>
        <w:pStyle w:val="Heading2"/>
      </w:pPr>
      <w:r>
        <w:t>Regeste</w:t>
      </w:r>
    </w:p>
    <w:p>
      <w:r>
        <w:t>Baubewilligung für ein Einfamilienchalet (Entscheid der Bau-, Verkehrs- und Energiedirektion des Kantons Bern vom 2. Dezember 2013 - RA Nr. 110/2012/178)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ist, ob die BVE die Baubewilligung ohne weitere Abklärungen mit der Auflage ergänzen durfte, das Einfamilienchalet dürfe nur als Erstwohnung genutzt werden.</w:t>
      </w:r>
    </w:p>
    <w:p>
      <w:r>
        <w:rPr>
          <w:b/>
        </w:rPr>
        <w:t>E. 2.1</w:t>
      </w:r>
    </w:p>
    <w:p>
      <w:r>
        <w:t>Am 11. März 2012 ist mit Annahme der Volksinitiative «Schluss mit uferlosem Bau von Zweitwohnungen!» Art. 75b der Bundesverfassung (BV; SR 101) in Kraft</w:t>
      </w:r>
    </w:p>
    <w:p>
      <w:r>
        <w:t>Urteil des Verwaltungsgerichts des Kantons Bern vom 04.04.2014, Nr. 100.2014.1U, Seite 4 getreten (vgl. Art. 195 BV i.V.m. Art. 15 Abs. 3 des Bundesgesetzes vom 17. Dezember 1976 über die politischen Rechte [BPR; SR 161.1]; BGE 139 II 243 E. 8). Die neue Verfassungsnorm bestimmt, dass der Anteil von Zweitwohnungen am Gesamtbestand der Wohneinheiten und der für Wohnzwecke genutzten Bruttogeschossfläche einer Gemeinde auf höchstens 20 Prozent beschränkt ist. 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(BGE 139 II 243 E. 9 ff.; Bernhard Waldmann, Das Bundesgericht hat gesprochen – erste Leiturteile zur Zweitwohnungsinitiative, in BR 2013 S. 233 ff.). Insofern erfasst es nicht nur Bauten, die erklärtermassen als Zweitwohnung genutzt werden sollen, sondern auch solche, die als Zweitwohnungen genutzt werden könnten (vgl. BGer 1C_289/2013 vom 28.10.2013, E. 3.2, 1C_604/2013 vom 8.10.2013, E. 3; VGE 2012/422 vom 10.2.2014 [zur Publ. bestimmt]). Die Nutzung von Wohnungen als Erstwohnungen hingegen ist von Art. 75b BV nicht erfasst, so dass diese weiterhin bewilligt werden können (Art. 75b BV e contrario; Art. 4 Bst. a der Verordnung vom 22. August 2012 über Zeitwohnungen [Zweitwohnungsverordnung, SR 702]). Als Erstwohnung gelten Wohnungen, die dauernd durch Personen mit Wohnsitz in der Gemeinde genutzt werden. Art. 2 Bst. b Zweitwohnungsverordnung stellt den Erstwohnungen die Wohnungen gleich, die dauernd durch Personen zu Erwerbs- oder Ausbildungs- zwecken genutzt werden (BGE 139 II 243 E. 10.2; vgl. dazu Erläuternder Bericht zur Verordnung über Zweitwohnungen, S. 6, einsehbar unter: &lt;www.are.admin.ch&gt;, Rubriken «Themen/Raumordnung und Raumplanung/Siedlung/Zweitwohnungen»). Bewilligungen für Erstwohnungen müssen aber mit einer Auflage versehen werden, mit welcher die Bauherrschaft verpflichtet wird, die Wohnung als Erstwohnung zu nutzen. Zusätzlich bedarf es einer entsprechenden Anmerkung im Grundbuch (Art. 4 Bst. a i.V.m. Art. 6 Zweitwohnungsverordnung; vgl. auch Merkblatt des Bundesamtes für Raumentwicklung ARE für die Erteilung von Baubewilligungen, S. 1, einsehbar unter: &lt;www.are.admin.ch&gt;, Rubriken «Themen/Raumordnung und Raumplanung/Siedlung/Zweitwohnungen»).</w:t>
      </w:r>
    </w:p>
    <w:p>
      <w:r>
        <w:t>Urteil des Verwaltungsgerichts des Kantons Bern vom 04.04.2014, Nr. 100.2014.1U, Seite 5</w:t>
      </w:r>
    </w:p>
    <w:p>
      <w:r>
        <w:rPr>
          <w:b/>
        </w:rPr>
        <w:t>E. 2.2</w:t>
      </w:r>
    </w:p>
    <w:p>
      <w:r>
        <w:t>Der Gegenstand des Baubewilligungsverfahrens wird durch das Baugesuch bestimmt (vgl. Art. 11 des Dekrets vom 22. März 1994 über das Baubewilligungsverfahren [Baubewilligungsdekret, BewD; BSG 725.1]). Die Baubewilligung beinhaltet die Feststellung, dass dem Bauvorhaben keine bau- und planungsrechtlichen Hindernisse entgegenstehen und das Vorhaben auch den übrigen im Baugesuchsverfahren zu prüfenden Vorschriften entspricht (Art. 2 Abs. 1 BauG; BVR 2007 S. 164 E. 4.3; Peter Hänni, Planungs-, Bau- und besonderes Umweltschutzrecht, 5. Aufl. 2008, S. 322 f.). Die Behörde hat das Projekt so zu beurteilen, wie es die Bauherrschaft zuletzt zur Bewilligung beantragt hat (Zaugg/Ludwig, Kommentar zum bernischen BauG, Band I, 4. Aufl. 2013, Art. 38-39 N. 14). Mit der Baubewilligung können Bedingungen und Auflagen verbunden werden. Sie kommen grundsätzlich nur in Betracht bei Bauvorhaben, die je nach ihrer näheren Gestaltung oder Einrichtung oder je nach der Art der Nutzung oder Betriebsführungen sowohl gesetzeskonform als auch gesetzwidrig sein können und sind in diesen Fällen das Mittel, um die gesetzwidrigen Auswirkungen zu verhindern (BVR 2012 S. 74 E. 4.3.2; Zaugg/Ludwig, a.a.O, Art. 38-39 N. 15a Bst. c). Die Kontrolle der hinsichtlich der Erfüllung der für die Zeit nach Bauvollendung geltenden Auflagen der Baubewilligung obliegt aber nicht der Baubewilligungs-, sondern der Baupolizeibehörde (Zaugg/Ludwig, a.a.O, Art. 45 N. 2). Diese ist verantwortlich für die Aufsicht über die Einhaltung der Bauvorschriften und der Bedingungen und Auflagen der Baubewilligung, die Wiederherstellung des rechtmässigen Zustands und die Ersatzvornahme (Art. 45 Abs. 2 und Art. 46 f. BauG).</w:t>
      </w:r>
    </w:p>
    <w:p>
      <w:r>
        <w:rPr>
          <w:b/>
        </w:rPr>
        <w:t>E. 2.3</w:t>
      </w:r>
    </w:p>
    <w:p>
      <w:r>
        <w:t>Das Baugesuch der Beschwerdegegnerschaft wurde am 16. Mai 2012 und damit nach Inkrafttreten von Art. 75b BV ohne Nutzungsbeschränkung als Erstwohnung eingereicht. Die Gemeinde hat die Baubewilligung am 10. Oktober 2012 erteilt. Unbestritten ist, dass in der EG E.________ der Zweitwohnungsanteil mehr als 20 Prozent beträgt (vgl. Art. 1 Abs. 2 i.V.m. Anhang der Zweitwohnungsverordnung, Gemeinde Nr. ...). Da der geplante Bau als Zweitwohnung hätte genutzt werden kön- nen, entsprach das ursprüngliche Baugesuch aufgrund von Art. 75b BV nicht den bau- und planungsrechtlichen Vorschriften. Mit ihren Eingaben vom 6. August 2013 sowie vom 23. September 2013 (Vorakten BVE [act. 4A], pag. 111 und 128) sicherte die Beschwerdegegnerschaft jedoch zu, das geplante Einfamilienchalet künftig als Erstwohnung zu nutzen und beantragte der Vorinstanz, die Baubewilligung unter dieser Auflage zu erteilen. Die von der Beschwerdegegnerschaft veranlasste Ergänzung der Baubewilligung war mit keinen baulichen Veränderungen am geplanten Vorhaben</w:t>
      </w:r>
    </w:p>
    <w:p>
      <w:r>
        <w:t>Urteil des Verwaltungsgerichts des Kantons Bern vom 04.04.2014, Nr. 100.2014.1U, Seite 6 verbunden. Die BVE hatte lediglich (aber immerhin) zu prüfen, ob das Bauvorhaben, wie es ihr seitens der Beschwerdegegnerschaft zuletzt unterbreitet worden war – nämlich zur Nutzung als Erstwohnung – bewilligungsfähig war. Da das Baugesuch sowohl eine gesetzeskonforme als auch eine gesetzwidrige Nutzung zuliess, die Auflage der Erstwohnungsnutzung aber die gesetzwidrigen Auswirkungen zu verhindern vermochte, musste es mit dieser Nebenbestimmung bewilligt werden. Wes- halb eine Anpassung des Bauvorhabens hätte erfolgen müssen, wie es die Beschwerdeführenden verlangen (vgl. Beschwerde, Ziff. III/11), ist weder substantiiert dargelegt noch ersichtlich. Auch ein Chalet mit einem Badezimmer zu jedem Schlafzimmer schliesst eine Nutzung als Erstwohnung nicht aus, weil der Begriff der Erstwohnung nicht auf die bauliche Struktur, sondern auf die Nutzung zielt (vgl. E. 2.1 hiervor). Auch musste die BVE keine Abklärungen zur späteren Nutzung als Erstwohnung vornehmen. Für die Überprüfung der Einhaltung der Nutzungsbeschränkung ist vielmehr die Baupolizeibehörde zuständig. Insbesondere hat sie die Einhaltung der Auflage zur Nutzung als Erstwohnung zu kontrollieren und nötigenfalls die Wiederherstellung des rechtmässigen Zustands zu verfügen bzw. durchzusetzen. Die Gemeinde hat denn auch in ihrer Stellungnahme vom 10. Januar 2014 (act. 3) das Vollzugsprozedere erläutert. Soweit die Beschwerdeführenden eine ungenügende Kontrolle durch die Baupolizeibehörde befürchten (vgl. Beschwerde, Ziff. III/42), sind sie auf die kantonale Aufsicht hinzuweisen: Sollten sie der Ansicht sein, dass die Gemeinde ihre baupolizeilichen Pflichten missachtet, können sie die Regierungsstatthalterin oder den Regierungsstatthalter anrufen, die oder der die entsprechenden Massnahmen zu verfügen hat (Art. 45 Abs. 1 und Art. 48 BauG). Auch der Einwand, es liege eine Ermessensüberschreitung der BVE vor, vermag nicht zu überzeugen: Die BVE prüft das Bauvorhaben frei (Art. 40 Abs. 3 BauG) und kann demnach im Beschwerdeverfahren auch Auflagen zur Baubewilligung anbringen. Die übrigen Vorbringen der Beschwerdeführenden vermögen an den obigen Ausführungen nichts zu ändern. Die Erteilung der Baubewilligung mit einer Auflage ist weder als Projektänderung i.S.v. Art. 43 BewD anzusehen noch ist damit eine Umgehung von gesetzlichen Regelungen verbunden.</w:t>
      </w:r>
    </w:p>
    <w:p>
      <w:r>
        <w:rPr>
          <w:b/>
        </w:rPr>
        <w:t>E. 2.4</w:t>
      </w:r>
    </w:p>
    <w:p>
      <w:r>
        <w:t>Soweit die Beschwerdeführenden eine Verletzung der Begründungspflicht und demnach eine Gehörsverletzung (Art. 29 Abs. 2 BV, Art. 26 Abs. 2 der Verfassung des Kantons Bern [KV; BSG 101.1], Art. 21 ff. VRPG) geltend machen, kann ihnen ebenfalls nicht gefolgt werden. Umfang und Inhalt der Begründungspflicht (vgl. auch Art. 52 Abs. 1 Bst. b VRPG) können nicht abstrakt umschrieben werden, sondern sind</w:t>
      </w:r>
    </w:p>
    <w:p>
      <w:r>
        <w:t>Urteil des Verwaltungsgerichts des Kantons Bern vom 04.04.2014, Nr. 100.2014.1U, Seite 7 je nach Sach- und Rechtslage zu konkretisieren.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(BVR 2012 S. 109 E. 2.3.3, 2004 S. 133 E. 4.4.1; BGE 136 I 229 E. 5.2, 133 I 270 E. 3.1, 133 III 439 E. 3.3; Merkli/Aeschlimann/Herzog, Kommentar zum bernischen VRPG, 1997, Art. 52 N. 5 ff.). – Die BVE hat in ihrem Entscheid festgehalten, dass sich die Beschwerdegegnerschaft mit ihrer Stellungnahme vom 23. September 2013 damit einverstanden erklärte, das Objekt als Erstwohnung zu nutzen. Damit habe sich die Beschwerdegegnerschaft einem Anliegen der Beschwerdeführenden unterzogen (angefochtener Entscheid, E. II/2c). Wie vorstehend ausgeführt, musste die BVE keine Abklärungen zum tatsächlichen Nutzungswillen der Beschwerdegegnerschaft vornehmen. Die Vorinstanz hat demnach den Anspruch der Beschwerdeführenden auf rechtliches Gehör nicht verletzt.</w:t>
      </w:r>
    </w:p>
    <w:p>
      <w:r>
        <w:rPr>
          <w:b/>
        </w:rPr>
        <w:t>E. 3</w:t>
      </w:r>
    </w:p>
    <w:p>
      <w:r>
        <w:t>Aufgrund des angefochtenen Entscheids besteht eine Verpflichtung zur Nutzung der Wohnung als Erstwohnung. Ob und unter welchen Voraussetzungen eine spätere Nutzungsänderung aufgrund der dannzumaligen Bestimmungen des Zweitwohnungsgesetzes möglich sein wird, ist nicht Thema des vorliegenden Verfahrens (vgl. VGE 2012/448 vom 3.4.2014, E. 5.1 a.E.). Einer Sistierung des Verfahrens bis zum Inkrafttreten der Ausführungsgesetzgebung zum Zweitwohnungsartikel der Bundesverfassung bedarf es daher nicht. Der entsprechende Antrag der Beschwerdeführenden ist abzuweisen.</w:t>
      </w:r>
    </w:p>
    <w:p>
      <w:r>
        <w:t>Urteil des Verwaltungsgerichts des Kantons Bern vom 04.04.2014, Nr. 100.2014.1U, Seite 8</w:t>
      </w:r>
    </w:p>
    <w:p>
      <w:r>
        <w:rPr>
          <w:b/>
        </w:rPr>
        <w:t>E. 4</w:t>
      </w:r>
    </w:p>
    <w:p>
      <w:r>
        <w:t>Der angefochtene Entscheid hält der Rechtskontrolle folglich in allen Teilen stand. Die Beschwerde erweist sich nach dem Gesagten als offensichtlich unbegründet und ist abzuweisen. Solche Beschwerden entscheidet das Gericht in Zweierbesetzung (Art. 56 Abs. 3 des Gesetzes vom 11. Juni 2009 über die Organisation der Gerichtsbehörden und der Staatsanwaltschaft [GSOG; BSG 161.1]).</w:t>
      </w:r>
    </w:p>
    <w:p>
      <w:r>
        <w:rPr>
          <w:b/>
        </w:rPr>
        <w:t>E. 5</w:t>
      </w:r>
    </w:p>
    <w:p>
      <w:r>
        <w:t>Zu eröffnen: - den Beschwerdeführenden - der Beschwerdegegnerschaft - der Bau-, Verkehrs- und Energiedirektion des Kantons Bern - der Einwohnergemeinde E.________</w:t>
      </w:r>
    </w:p>
    <w:p>
      <w:r>
        <w:t>Urteil des Verwaltungsgerichts des Kantons Bern vom 04.04.2014, Nr. 100.2014.1U, Seite 9 - dem Bundesamt für Raumentwicklung Der Abteilungspräsident: Der Gerichtsschreiber: i.V.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