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200 2024 94 vom 18. Februar 2025</w:t>
      </w:r>
    </w:p>
    <w:p>
      <w:r>
        <w:t>BE Steuerrekursgericht, 2025-02-18, DE</w:t>
      </w:r>
    </w:p>
    <w:p>
      <w:r>
        <w:rPr>
          <w:b/>
        </w:rPr>
        <w:t xml:space="preserve">Quelle: </w:t>
      </w:r>
      <w:r>
        <w:t>https://mcp.opencaselaw.ch/entscheid/be_steuerrekurs_200_2024_94</w:t>
      </w:r>
    </w:p>
    <w:p>
      <w:r>
        <w:t>FR: BE_STEUERREKURS 200 2024 94 du 18 février 2025</w:t>
      </w:r>
    </w:p>
    <w:p>
      <w:r>
        <w:t>IT: BE_STEUERREKURS 200 2024 94 del 18 febbraio 2025</w:t>
      </w:r>
    </w:p>
    <w:p>
      <w:pPr>
        <w:pStyle w:val="Heading2"/>
      </w:pPr>
      <w:r>
        <w:t>Regeste</w:t>
      </w:r>
    </w:p>
    <w:p>
      <w:r>
        <w:t>Wehrpflichtersatzabgabe / Mindestabgabe nicht EMRK-widrig / BSM hat rechtliches Gehör verletzt | Wehrpflichtersatz</w:t>
      </w:r>
    </w:p>
    <w:p>
      <w:pPr>
        <w:pStyle w:val="Heading2"/>
      </w:pPr>
      <w:r>
        <w:t>Erwägungen</w:t>
      </w:r>
    </w:p>
    <w:p>
      <w:r>
        <w:rPr>
          <w:b/>
        </w:rPr>
        <w:t>E. 2</w:t>
      </w:r>
    </w:p>
    <w:p>
      <w:r>
        <w:t>Die Angelegenheit sei zur neueren Entscheidung im Sinne der Erwägungen an die Vorinstanz zurückzuweisen;</w:t>
      </w:r>
    </w:p>
    <w:p>
      <w:r>
        <w:rPr>
          <w:b/>
        </w:rPr>
        <w:t>E. 3</w:t>
      </w:r>
    </w:p>
    <w:p>
      <w:r>
        <w:t>Streitig ist die vom BSM vorgenommene Festlegung der Wehrpflichtersatzabgabe für das Ersatzjahr 2022. Der Beschwerdeführer hat in seinem Rechtsbegehren keinen ziffernmässigen Antrag gestellt, sondern die Aufhebung des Einspracheentscheids und die Rückweisung an das BSM verlangt. Er rügt, dass das BSM seiner Begründungspflicht nicht genügend nachgekom- men sei. Konkret habe sich das BSM nicht mit seinem Argument auseinandergesetzt, dass eine Mindestabgabe EMRK-widrig sei. Damit macht der Beschwerdeführer eine Verletzung des rechtlichen Gehörs durch die Vorinstanz geltend, welche vorab zu prüfen ist.</w:t>
      </w:r>
    </w:p>
    <w:p>
      <w:r>
        <w:rPr>
          <w:b/>
        </w:rPr>
        <w:t>E. 3.1</w:t>
      </w:r>
    </w:p>
    <w:p>
      <w:r>
        <w:t>Der in Art. 29 Abs. 2 der Bundesverfassung (BV; SR 101), Art. 26 Abs. 2 der Verfassung des Kantons Bern (KV; BSG 101.1) sowie Art. 21 ff. des Gesetzes vom 23. Mai 1989 über die Verwaltungsrechtspflege (VRPG; BSG 155.21; vgl. zur Anwendbarkeit des VPRG auch Art. 22 WPEG) garantierte Anspruch auf rechtliches Gehör umfasst namentlich das Recht, dass die zuständige Behörde die Argumente der vom Entscheid betroffenen Personen tatsächlich hört, prüft und bei der Entscheidfindung berücksichtigt (vgl. Michel Daum in: Kommentar zum Gesetz über die Verwaltungsrechtspflege im Kanton Bern, 2. Aufl., 2020, N. 2 zu Art. 21 VRPG).</w:t>
      </w:r>
    </w:p>
    <w:p>
      <w:r>
        <w:rPr>
          <w:b/>
        </w:rPr>
        <w:t>E. 3.2</w:t>
      </w:r>
    </w:p>
    <w:p>
      <w:r>
        <w:t>Daraus folgt u.a. die grundsätzliche Verpflichtung der Behörde, ihr ordnungsgemäss an- gebotene Beweise abzunehmen und ihren Entscheid zu begründen. Beide Pflichten gelten je- doch nicht uneingeschränkt. In Bezug auf die Begründungspflicht ist zu beachten, dass sich das BSM nicht mit allen Parteistandpunkten einlässlich auseinandersetzen und jedes einzelne Vorbringen ausdrücklich widerlegen muss. Vielmehr kann es sich auf die für den Entscheid</w:t>
      </w:r>
    </w:p>
    <w:p>
      <w:r>
        <w:t>- 7 - wesentlichen Punkte des Sachverhalts und der rechtlichen Begründung beschränken. Die Be- gründung muss aber zumindest so abgefasst sein, dass der Betroffene den Entscheid gegebe- nenfalls sachgerecht anfechten kann. Die Begründung muss kurz die wesentlichen Überlegun- gen nennen, von denen sich die Behörde hat leiten lassen und auf die sich ihr Entscheid stützt. Erforderlich ist bloss, dass sich aus der Gesamtheit der Begründung ergibt, weshalb die Behör- de einem Parteistandpunkt nicht folgen kann (BGE 149 V 156 E. 6.1; BGE 142 III 433 E. 4.3.2, mit vielen Hinweisen; Michel Daum, a.a.O., N. 7 zu Art. 52 VRPG; Steinmann/Schindler/Wyss in: St. Galler Kommentar, Bundesverfassung, 4. Aufl., 2023, N. 65 zu Art. 29 BV). Ist diese Vor- aussetzung erfüllt, schadet es nicht, wenn die Behörde ihre Haltung nur implizit zum Ausdruck bringt. Die Behörde macht sich aber einer wegen Art. 29 Abs. 2 BV verbotenen formellen Rechtsverweigerung schuldig, wenn sie es unterlässt, sich zu Beschwerdepunkten zu äussern, die eine gewisse Relevanz haben, oder zu Vorbringen und Argumenten, die für die zu erlas- sende Entscheidung wichtig sind (BGE 141 V 557 E. 3.2.1). Art. 52 Abs. 1 Bst. b VRPG schreibt explizit die Bekanntgabe der massgeblichen Tatsachen, Rechtssätze und Gründe vor (vgl. dazu Michel Daum, a.a.O., N. 6 zu Art. 52 VRPG). Der konkrete Umfang und die Dichte der Begrün- dung richten sich aber nach den Umständen (Steinmann/Schindler/Wyss, a.a.O., N. 65 zu Art. 29 BV). So ist zu berücksichtigen, wie komplex oder umstritten ein Sachverhalt ist, wie gross der Handlungsspielraum der Behörde ist und wie stark der Verwaltungsakt in individuelle Rechte eingreift (Michel Daum, a.a.O., N. 7 zu Art. 52 VRPG sowie N. 30 zu Art. 21 VRPG). Ob die vorgetragenen Argumente inhaltlich zutreffen, ist nicht eine Frage des rechtlichen Gehörs, sondern der materiellen Beurteilung. Das Recht auf einen begründeten Entscheid ist also nicht gleichzusetzen mit dem Recht auf einen sachlich richtigen Entscheid (Michel Daum, a.a.O., N. 28 zu Art. 21 VRPG; vgl. BGE 130 II 530 E. 4.3).</w:t>
      </w:r>
    </w:p>
    <w:p>
      <w:r>
        <w:rPr>
          <w:b/>
        </w:rPr>
        <w:t>E. 3.3</w:t>
      </w:r>
    </w:p>
    <w:p>
      <w:r>
        <w:t>Tatsächlich ist das BSM im Einspracheentscheid nicht darauf eingegangen, ob die Minde- stabgabe gegen Art. 14 EMRK verstösst. Hinsichtlich der EMRK hat es einzig pauschale Aus- sagen zur Militärdienstpflicht und zur Umsetzung von älteren Urteilen gemacht. Es wurde darü- ber lediglich festgehalten, dass die Mindestabgabe nach geltendem Recht veranlagt worden sei. Damit wurde nicht auf den wesentlichen Einwand des Beschwerdeführers eingegangen. Diese mangelhafte Entscheidbegründung stellt eine Verletzung des rechtlichen Gehörs dar.</w:t>
      </w:r>
    </w:p>
    <w:p>
      <w:r>
        <w:rPr>
          <w:b/>
        </w:rPr>
        <w:t>E. 3.4</w:t>
      </w:r>
    </w:p>
    <w:p>
      <w:r>
        <w:t>Der Anspruch auf rechtliches Gehör ist eine Garantie formeller Natur, deren Verletzung grundsätzlich zur Aufhebung des angefochtenen Entscheids führt, unabhängig von den Erfolgsaussichten der Beschwerde in der Sache. Nach der bundes- und verwaltungs- gerichtlichen Rechtsprechung kann eine Gehörsverletzung indes "geheilt" werden, wenn der Rechtsmittelinstanz die gleiche Überprüfungsbefugnis zukommt wie der Vorinstanz und der beschwerdeführenden Partei kein Nachteil erwächst, d.h. sie ihre Rechte im Rechtsmittelverfah-</w:t>
      </w:r>
    </w:p>
    <w:p>
      <w:r>
        <w:t>- 8 - ren ungeschmälert wahrnehmen kann. Eine solche Wiedergutmachung muss jedoch die Aus- nahme bleiben und ist grundsätzlich nur bei einer nicht besonders schweren Verletzung der Verfahrensrechte zulässig. Eine Heilung der Verletzung des Anspruchs auf rechtliches Gehör kann jedoch auch bei Vorliegen eines schwerwiegenden Mangels gerechtfertigt sein, wenn die Rückweisung eine Formalität wäre und zu einer unnötigen Verlängerung des Verfahrens führen würde, was mit dem Interesse der betroffenen Partei an einer Entscheidung ihres Falles inner- halb einer angemessenen Frist unvereinbar wäre (zum Ganzen: BGE 142 II 218 E. 2.8.1; Mi- chel Daum, a.a.O., N. 11 zu Art. 21 VRPG; vgl. Steinmann/Schindler/Wyss, a.a.O., N. 25 f. zu Art. 29 BV). Zudem kann eine mangelhafte Entscheidbegründung auch durch Nachlieferung der Begründung im Rahmen des Beschwerdeverfahrens geheilt werden (analog: Peter Kästli in: Praxiskommentar zum Berner Steuergesetz, Band 2, Artikel 126 bis 293, 2011, N. 12 zu Art. 193 des Steuergesetzes vom 21. Mai 2000 [StG; BSG 661.11]; vgl. Entscheid des Verwal- tungsgerichts Zürich SB.2020.00032 vom 22.7.2020, E. 2.2; vgl. RKE 100 2022 292 vom 20.2.2024, E. 2, nicht publiziert).</w:t>
      </w:r>
    </w:p>
    <w:p>
      <w:r>
        <w:rPr>
          <w:b/>
        </w:rPr>
        <w:t>E. 3.5</w:t>
      </w:r>
    </w:p>
    <w:p>
      <w:r>
        <w:t>Die Steuerrekurskommission hat die gleiche Überprüfungsbefugnis wie das BSM (Art. 37 Abs. 2 WPEV). Das BSM hat in seiner Vernehmlassung vom 22. Mai 2024 (vgl. Bst. G) explizit festgehalten, dass es die EMRK in Bezug auf die Erhebung der Wehrpflichtersatzabgabe ganz klar nicht als übergeordnetes Recht ansehe. Als massgebend werde einzig das WPEG erachtet (ebenso von der ESTV in ihrer Vernehmlassung vom 14.6.2024, vgl. Bst. I). Damit hat es seinen Standpunkt eindeutig dargelegt, auch wenn nicht hergeleitet worden ist, warum die in der EMRK festgehaltenen Garantien nicht beachtlich seien. Da sich zudem auch die ESTV schon einschlägig geäussert hat und keine Veränderung ihrer Haltung zu erwarten ist, wäre die Rück- weisung ein prozessualer Leerlauf, welcher zu einer unnötigen Verlängerung des Verfahrens führen würde. Mit der nachfolgenden Prüfung der behaupteten EMRK-Widrigkeit wird verhindert (E. 4 ff.), dass dem Beschwerdeführer irgendwelche Nachteile erwachsen. Damit sind die Vor- aussetzungen einer Heilung des rechtlichen Gehörs erfüllt bzw. die Verletzung des rechtlichen Gehörs des Beschwerdeführers im vorinstanzlichen Verfahren wird mit dem vorliegenden Urteil geheilt. Auf eine Rückweisung der Sache an die Vorinstanz wird insofern verzichtet. Insoweit ist der diesbezügliche Antrag abzuweisen. Einer im Rechtsmittelverfahren geheilten Gehörsverlet- zung ist aber bei der Kostenverlegung Rechnung zu tragen (Michel Daum, a.a.O., N. 11 zu Art. 21 VRPG; vgl. E. 8).</w:t>
      </w:r>
    </w:p>
    <w:p>
      <w:r>
        <w:rPr>
          <w:b/>
        </w:rPr>
        <w:t>E. 4</w:t>
      </w:r>
    </w:p>
    <w:p>
      <w:r>
        <w:t>Der Beschwerdeführer beantragt die Aufhebung des Einspracheentscheids vom 12. März 2024. Materiell begründet er diesen Antrag im vorliegenden Beschwerdeverfahren nicht. Aufgrund des inhaltlich gleichen Antrags im Einspracheverfahren (vgl. Bst. C) übernimmt die Steuerrekurskommission die vorinstanzlichen Begehren für das Beschwerdeverfahren. Materiell</w:t>
      </w:r>
    </w:p>
    <w:p>
      <w:r>
        <w:t>- 9 - bringt der Beschwerdeführer demzufolge vor, dass ihm keine Mindestabgabe aufzuerlegen sei, da diese EMRK-widrig sei. Eventualiter sei die Ersatzabgabe aus demselben Grund auf 3 % des taxpflichtigen Einkommens festzulegen (ausmachend CHF 306.--).</w:t>
      </w:r>
    </w:p>
    <w:p>
      <w:r>
        <w:rPr>
          <w:b/>
        </w:rPr>
        <w:t>E. 4.1</w:t>
      </w:r>
    </w:p>
    <w:p>
      <w:r>
        <w:t>Bevor dies konkret geprüft werden kann, sind die rechtlichen Grundlagen der Militär- dienstpflicht und des Wehrpflichtersatzes darzulegen: Jeder Schweizer ist verpflichtet, Militär- dienst zu leisten. Das Gesetz sieht einen zivilen Ersatzdienst vor (Art. 59 Abs. 1 BV). Für Schweizerinnen ist der Militärdienst freiwillig (Art. 59 Abs. 2 BV). Schweizer, die weder Militär- noch Ersatzdienst leisten, schulden eine Abgabe. Diese wird vom Bund erhoben und von den Kantonen veranlagt und eingezogen (Art. 59 Abs. 3 BV). Der Bund kann sodann auch den Zivil- schutz für Männer obligatorisch erklären, während dieser für Frauen freiwillig ist (Art. 61 Abs. 3 BV). Das Gesetz erklärt Männer, die nicht militär- oder zivildienstpflichtig, aber schutzdienst- tauglich sind, als schutzdienstpflichtig (Art. 29 des Bundesgesetzes vom 20. Dezember 2019 über den Bevölkerungsschutz und den Zivilschutz [BZG; SR 520.1]), während Frauen freiwillig Schutzdienst leisten können (Art. 33 Abs. 1 Bst. c BZG; so bereits BGer 2C_1051/2016 vom 24.8.2017, E. 2.1).</w:t>
      </w:r>
    </w:p>
    <w:p>
      <w:r>
        <w:rPr>
          <w:b/>
        </w:rPr>
        <w:t>E. 4.2</w:t>
      </w:r>
    </w:p>
    <w:p>
      <w:r>
        <w:t>Der Wehrpflichtersatz gehört nach einhelliger Lehre und Praxis nicht zu den Steuern, sondern zu den Ersatzabgaben (taxe de remplacement) und fällt damit unter die Kausalabga- ben. Der Sinn der Ersatzabgabe besteht darin, dass diejenigen, welche die Hauptpflicht nicht erfüllen und demzufolge die damit verbundenen Belastungen und Nachteile nicht zu tragen ha- ben, einen gewissen Ausgleich leisten (BGer 2C_1051/2016 vom 24.8.2017, E. 2.2.2, mit Hin- weisen). Dass eine Wehrpflichtersatzabgabe erhoben wird, entspricht dem Gebot der Rechts- gleichheit und der Gerechtigkeit gegenüber denjenigen, welche die Hauptpflicht persönlich er- füllen und die entsprechenden Naturallasten tragen (BGer 2C_1051/2016 vom 24.8.2017, E. 2.2.3, mit Hinweisen). Allerdings handelt es sich bei der persönlichen Dienstleistung und bei der Bezahlung der Ersatzabgabe um Leistungen verschiedener Natur, welche nur schwer in Äquivalenz gebracht werden können. Dem Gesetzgeber muss daher bei der Ausgestaltung der Ersatzabgabe, insbesondere bei deren Bemessung und Höhe, ein weiter Spielraum offen ge- lassen werden (BGer 2C_21/2009 vom 14.10.2009, E. 2.2; BBl 2017 6191, S. 6201).</w:t>
      </w:r>
    </w:p>
    <w:p>
      <w:r>
        <w:rPr>
          <w:b/>
        </w:rPr>
        <w:t>E. 4.3</w:t>
      </w:r>
    </w:p>
    <w:p>
      <w:r>
        <w:t>Die Wehrpflichtersatzabgabe wird im WPEG näher ausgeführt: Schweizer Bürger, die ihre Wehrpflicht nicht oder nur teilweise durch persönliche Dienstleistung (Militär- oder Zivildienst) erfüllen, haben einen Ersatz in Geld zu leisten (Art. 1 WPEG). Die Abgabe wird von den Ersatz- pflichtigen, welche im Ersatzjahr die Dienstpflicht nicht erfüllt haben (Art. 2 und Art. 8 WPEG) und nicht von der Ersatzpflicht befreit sind (Art. 4 und Art. 4a WPEG), auf dem taxpflichtigen Einkommen erhoben (Art. 11 und Art. 12 WPEG; so bereits BGer 2C_1051/2016 vom</w:t>
      </w:r>
    </w:p>
    <w:p>
      <w:r>
        <w:t>- 10 - 24.8.2017, E. 2.2.1). Die Wehrpflichtersatzabgabe beträgt CHF 3.-- je CHF 100.-- des taxpflich- tigen Einkommens, mindestens aber CHF 400.-- (Art. 13 Abs. 1 WPEG).</w:t>
      </w:r>
    </w:p>
    <w:p>
      <w:r>
        <w:rPr>
          <w:b/>
        </w:rPr>
        <w:t>E. 4.4</w:t>
      </w:r>
    </w:p>
    <w:p>
      <w:r>
        <w:t>Nicht streitig ist, dass der Beschwerdeführer dienstuntauglich ist. Er hat deshalb im Jahr 2022 keinen Militär- oder Zivildienst geleistet. Stattdessen ist die Wehrpflichtersatzabgabe entsprechend den gesetzlichen Grundlagen erhoben worden, konkret die Mindestabgabe von CHF 400.--. Der Beschwerdeführer rügt einzig, dass die Mindestabgabe EMRK-widrig sei bzw. konkret gegen Art. 4 Ziff. 2 bzw. Art. 4 Ziff. 3 Bst. b i.V.m. Art. 14 EMRK verstosse, da die Wehrpflichtersatzabgabe im Rahmen der Mindestabgabe keinen Ersatzcharakter habe.</w:t>
      </w:r>
    </w:p>
    <w:p>
      <w:r>
        <w:rPr>
          <w:b/>
        </w:rPr>
        <w:t>E. 5</w:t>
      </w:r>
    </w:p>
    <w:p>
      <w:r>
        <w:t>Die EMRK gilt als unmittelbar anwendbar durch die Behörden aller Gewalten und aller Stufen, insbesondere auch für erstinstanzliche Gerichte (Mark E. Villiger, Handbuch der Eu- ropäischen Menschenrechtskonvention [EMRK], 3. Aufl., 2020, N. 20 und N. 2). Eine EMRK- Regelung ist deshalb, soweit dies im konkreten Einzelfall geboten ist, trotz einer allfällig entge- genstehenden bundesrechtlichen Vorschrift anzuwenden. Dabei geht das Völkerrecht bei einem Konflikt zwischen einer bundesgesetzlichen Regelung und einer Norm des Völkerrechts, z.B. EMRK, aufgrund des Vorrangs der völkerrechtlichen Grundrechtsgarantien vor (vgl. Art. 5 Abs. 4 BV; Heinz Aemisegger, Zur Umsetzung der EMRK in der Schweiz, in: Jusletter 20. Juli 2009, N. 7). Dementsprechend ist nachfolgend zu prüfen, ob die vom Beschwerdeführer gel- tend gemachten EMRK-Garantien vorliegend zur Anwendung gelangen können respektive in- wiefern sie durch die gesetzlich vorgesehene Mindestabgabe tangiert oder verletzt werden.</w:t>
      </w:r>
    </w:p>
    <w:p>
      <w:r>
        <w:rPr>
          <w:b/>
        </w:rPr>
        <w:t>E. 5.1</w:t>
      </w:r>
    </w:p>
    <w:p>
      <w:r>
        <w:t>Art. 14 EMRK enthält – wie Art. 8 BV – ein Diskriminierungsverbot. Diskriminierung be- deutet, dass eine andere Person in einer analogen oder einer hinreichend ähnlichen Situation bevorzugt oder benachteiligt, jedenfalls unterschiedlich behandelt wird. Die Umstände, die mit- einander verglichen werden, sollen sachlich gleich oder zumindest ähnlich sowie im Vergleich zueinander massgeblich sein. Stets ist der Einzelfall einschlägig. Die betreffende Person muss aufgrund der Diskriminierung konkret benachteiligt worden sein, wobei die Benachteiligung eine gewisse Schwere aufweisen soll (Mark E. Villiger, a.a.O., N. 872). Nach Art. 14 EMRK ist der Genuss der in dieser Konvention anerkannten Rechte und Freiheiten ohne Diskriminierung ins- besondere wegen des Geschlechts (und anderen Merkmalen) zu gewährleisten. Aus dem kla- ren Wortlaut der Bestimmung und ständiger Praxis des EGMR ergibt sich aber, dass Art. 14 EMRK nicht ein allgemeines Diskriminierungsverbot statuiert, sondern nur zum Tragen kommt in Bezug auf die in der Konvention anerkannten Rechte. Ist nicht der Schutzbereich eines kon- kreten Konventionsrechts betroffen, so ist die Diskriminierungsrüge nicht vereinbar mit den Be- stimmungen der Konvention und darum unzulässig (statt vieler: BGE 139 I 257 E. 5.3.1; BGer 2C_1051/2016 vom 24.8.2017, E. 4.1, mit Hinweisen; Mark E. Villiger, a.a.O., N. 865). Insofern ist zunächst zu untersuchen, ob vorliegend ein Konventionsrecht betroffen ist.</w:t>
      </w:r>
    </w:p>
    <w:p>
      <w:r>
        <w:t>- 11 -</w:t>
      </w:r>
    </w:p>
    <w:p>
      <w:r>
        <w:rPr>
          <w:b/>
        </w:rPr>
        <w:t>E. 5.2</w:t>
      </w:r>
    </w:p>
    <w:p>
      <w:r>
        <w:t>Im BGer 2C_1051/2016 vom 24. August 2016 führt das Bundesgericht aus, dass es nicht ohne weiteres verständlich sei, dass mit der unter Art. 4 Ziff. 3 Bst. d EMRK fallenden Feuer- wehrdienstabgabe eine Verletzung von Art. 14 EMRK resultieren könne (im EGMR 13580/88 vom 18.6.1994, Karlheinz Schmidt gegen Deutschland). Da die Feuerwehrpflicht gemäss Aus- nahmekatalog von Art. 4 Ziff. 3 EMRK gerade keine Zwangsarbeit sei, räume die EMRK dies- bezüglich keine Rechte ein. Es könne sich deshalb nicht die Frage stellen, ob jemand im Ge- nuss von durch die Konvention eingeräumten Rechten und Freiheiten diskriminiert werde. Dies- bezüglich wird auf die abweichenden Meinungen von EGMR-Richtern hingewiesen, welche das Bundesgericht als zutreffend einstuft. Insofern ist das Bundesgericht offensichtlich kritisch hin- sichtlich der Anwendbarkeit des Diskriminierungsverbots gemäss Art. 14 EMRK im Zusammen- hang mit "Zwangs- und Pflichtarbeit", worunter auch Dienstleistungen militärischer Art oder Dienstleistungen fallen, die an die Stelle des im Rahmen der Wehrpflicht zu leistenden Dienstes treten (Art. 4 Ziff. 3 Bst. b EMRK; BGer 2C_1051/2016 vom 24.8.2017, E. 4.4). Im vom Be- schwerdeführer ebenfalls erwähnten EGMR-Urteil Sven Glor gegen die Schweiz (EGMR 13444/04 vom 30.4.2009) war zudem nicht Art. 4 EMRK Grundlage, sondern Art. 8 EMRK (vgl. dazu E. 6).</w:t>
      </w:r>
    </w:p>
    <w:p>
      <w:r>
        <w:rPr>
          <w:b/>
        </w:rPr>
        <w:t>E. 5.3</w:t>
      </w:r>
    </w:p>
    <w:p>
      <w:r>
        <w:t>Trotz kritischer Haltung zur Anwendbarkeit von Art. 4 EMRK ist das Bundesgericht im erwähnten Urteil doch auf dessen Inhalt eingegangen. In EGMR 13580/88 vom 18. Juni 1994, Karlheinz Schmidt gegen Deutschland, war eine auf Männer beschränkte Feuerwehrpflichter- satzabgabe zu beurteilen. Da es im deutschen Bundesland Baden-Württemberg genügend Freiwillige für die Feuerwehr gab, wurde niemand zum Feuerwehrdienst verpflichtet. Die nur noch auf dem Papier bestehende und nur Männer betreffende Pflicht stellte gemäss dem EGMR eine Verletzung von Art. 4 Ziff. 3 Bst. d i.V.m. Art. 14 EMRK dar. Dies, da die Abgabe in der Realität ihren Ersatzcharakter verloren hatte und eine reine Abgabe geworden war, bezüg- lich welcher sich eine auf die Geschlechtszugehörigkeit abstellende Unterscheidung nicht recht- fertigte (BGer 2C_1051/2016 vom 24.8.2017, E. 4.5; EGMR 13580/88 vom 18.6.1994, Karl- heinz Schmidt gegen Deutschland, § 28). In seinem Urteil legt das Bundesgericht ausführlich dar, warum diese Argumentation in Bezug auf den schweizerischen Wehrpflichtersatz nicht zu- trifft. Insbesondere bestehe gemäss Bundesgericht die Wehrpflicht nicht nur in der Theorie, sondern auch in der Realität (BGer 2C_1051/2016 vom 24.8.2017, E. 4.6 f.).</w:t>
      </w:r>
    </w:p>
    <w:p>
      <w:r>
        <w:rPr>
          <w:b/>
        </w:rPr>
        <w:t>E. 5.4</w:t>
      </w:r>
    </w:p>
    <w:p>
      <w:r>
        <w:t>Der Beschwerdeführer erachtet aber auch nicht den Wehrpflichtersatz als solchen als EMRK-widrig, sondern lediglich die Mindestabgabe. Das Bundesgericht hat sich bisher nicht spezifisch zur prozentmässigen Abgabe oder der Festsetzung eines Mindestbetrags geäussert, sondern nur entschieden, dass die Wehrpflichtersatzabgabe insgesamt Ersatzcharakter hat. Sie stellt nach der bundesgerichtlichen Rechtsprechung ein taugliches und notwendiges System</w:t>
      </w:r>
    </w:p>
    <w:p>
      <w:r>
        <w:t>- 12 - dar, um Wehrgerechtigkeit herzustellen (BGer 2C_1051/2016 vom 24.8.2017, E. 4.6, mit Hin- weis). Nachfolgend ist demnach zu prüfen, ob die Mindestabgabe in Bezug auf die EMRK an- ders zu beurteilen ist.</w:t>
      </w:r>
    </w:p>
    <w:p>
      <w:r>
        <w:rPr>
          <w:b/>
        </w:rPr>
        <w:t>E. 5.5</w:t>
      </w:r>
    </w:p>
    <w:p>
      <w:r>
        <w:t>Der Gesetzgeber hat bei der Wehrpflichtersatzabgabe aufgrund schwieriger Vergleichbar- keit einen grossen Ausgestaltungsspielraum (E. 4.2). Wenn zunächst die finanziellen Folgen der Abgabe angesehen werden, ist festzuhalten, dass eine durchgängig prozentual ausgestalte- te Abgabe bei kleineren Beträgen dazu führen würde, dass die Kosten des administrativen Auf- wands durch die eingenommenen Abgaben nicht mehr gedeckt würden. Um gleichzeitig die Wehrgerechtigkeit nicht zu verletzen, erscheint eine Mindestabgabe ein taugliches Mittel.</w:t>
      </w:r>
    </w:p>
    <w:p>
      <w:r>
        <w:rPr>
          <w:b/>
        </w:rPr>
        <w:t>E. 5.6</w:t>
      </w:r>
    </w:p>
    <w:p>
      <w:r>
        <w:t>In seiner Argumentation in der Einsprache verweist der Beschwerdeführer zunächst auf die Botschaft zur Änderung der Bundesgesetze über den zivilen Ersatzdienst und über die Wehrpflichtersatzabgabe vom 27. Februar 2008 (BBl 2008 2707). In dieser ist festgehalten, dass mit der Annäherung an die Gleichwertigkeit zwischen Militärdienst und Wehrpflichtersatz- abgabe insbesondere Anreize beseitigt werden sollen, den "blauen Weg" zu begehen. Die Öko- nomengruppe der ESTV sei in einer vorgängigen Abklärung zum Schluss gekommen, dass ins- besondere aus der Perspektive angehender Studenten die Gleichwertigkeit verletzt sei, weil die persönliche Dienstleistung hohe Opportunitätskosten nach sich ziehe und sich heute als we- sentlich kostspieliger erweise als die Bezahlung der Wehrpflichtersatzabgabe. Als Opportu- nitätskosten seien in diesem Zusammenhang entgangene Erträge zu verstehen, die der Stu- dent erwirtschaftet hätte, wenn er die Zeit, die er im Militärdienst verbringe, für andere Akti- vitäten hätte einsetzen können (BBI 2008 2707, S. 2719). Gemäss dem Beschwerdeführer kann dieser Argumentation nicht gefolgt werden, da Studenten nach dem Abschluss ihrer Ausbildung in der Regel zwar mehr verdienen würden als Menschen nach dem Lehrabschluss, genau die- ser höhere Lohn aber durch die prozentuale Ersatzabgabe abgeschöpft werde. Da der konkrete Inhalt der Abklärung und insbesondere die Datengrundlagen der Steuerrekurskommission nicht vorliegen, kann die in der Botschaft erwähnte Aussage nicht verifiziert und auch die vom Be- schwerdeführer geäusserte Kritik nicht direkt geprüft werden. Der Beschwerdeführer vergleicht jedoch den Zeitpunkt des Studienabschlusses mit dem Zeitpunkt des Lehrabschlusses. Während eine Lehre in der Regel vor dem 20. Altersjahr abgeschlossen wird, dauert ein Studi- um im Regelfall deutlich länger. Insofern können die Zeitpunkte nur beschränkt verglichen wer- den. Zudem garantieren bei weitem nicht alle Studiengänge ein gutes Einkommen. Dem indirekt vorgebrachten Argument, dass die Studienabgänger einfach später ihren Anteil leisten (durch die frankenmässig höheren Abgaben nach Ende des Studiums) kann somit nicht gefolgt wer- den. Im Rahmen einer Erwerbstätigkeit können die von der Mindestabgabe betroffenen Männer die Mindestabgabe im Übrigen ohne weiteres in wenigen Arbeitstagen erwirtschaften (Studen-</w:t>
      </w:r>
    </w:p>
    <w:p>
      <w:r>
        <w:t>- 13 - ten etwa während den Semesterferien). Aus Art. 15 WPEG geht demgegenüber hervor, dass die Ersatzabgabe erst wegfällt, wenn ein Zivildienstpflichtiger mindestens 26 anrechenbare Diensttage geleistet hat (Art. 15 Abs. 2 WPEG). Der Einsatz für die Erwirtschaftung der Ersatz- abgabe ist damit geringer, als wenn Dienst geleistet würde. Eine höhere Belastung von Studen- ten als von Erwerbstätigen ist insofern nicht ersichtlich. Insbesondere ist keine Benachteiligung in einer gewissen Schwere des Beschwerdeführers selbst nachgewiesen.</w:t>
      </w:r>
    </w:p>
    <w:p>
      <w:r>
        <w:rPr>
          <w:b/>
        </w:rPr>
        <w:t>E. 5.7</w:t>
      </w:r>
    </w:p>
    <w:p>
      <w:r>
        <w:t>Der Beschwerdeführer bringt im Übrigen vor, dass sowohl Erwerbstätige als auch Studen- ten ein Jahr verlieren durch die Leistung des Militärdienstes. Inwiefern dies vorliegend relevant sein soll, ist für die Steuerrekurskommission nicht ersichtlich. Die Mindestabgabe dient nach dem Gesagten hauptsächlich der Wehrgerechtigkeit und nicht der Beschaffung finanzieller Mit- tel. Ein Verstoss gegen Art. 4 Ziff. 2 bzw. Art. 4 Ziff. 3 Bst. b i.V.m. Art. 14 EMRK liegt folglich nicht vor.</w:t>
      </w:r>
    </w:p>
    <w:p>
      <w:r>
        <w:rPr>
          <w:b/>
        </w:rPr>
        <w:t>E. 6</w:t>
      </w:r>
    </w:p>
    <w:p>
      <w:r>
        <w:t>Soweit der Beschwerdeführer zudem im Einspracheverfahren Ausführungen hinsichtlich der EGMR-Rechtsprechung gemacht hat zu Menschen mit körperlicher Beeinträchtigung im Rahmen des Wehrpflichtersatzes (betreffend Art. 8 i.V.m. Art. 14 EMRK), ist darauf hinzuwei- sen, dass den entsprechenden Verurteilungen durch den EGMR seither gesetzgeberisch Rech- nung getragen worden ist (BGer 2C_1051/2016 vom 24.8.2017, E. 4.8.2; zu den beiden Fällen vgl. Louise Bonadio, Taxe militaire: les effets et les doutes autour de la loi sur la taxe d'exemp- tion de l'obligation de servir, NF 7/2021, S. 375 ff., S. 378). Konkret können Personen, die an sich militärdienst- und zivilschutzuntauglich sind, aber Dienst leisten wollen, als "militärdienst- tauglich nur für besondere Funktionen, mit Auflagen" erklärt werden und damit einen angepass- ten Dienst leisten (Anhang 1 Ziff. 4 der Verordnung vom 24. November 2004 über die medizini- sche Beurteilung der Militärdiensttauglichkeit und der Militärdienstfähigkeit [VMBM; SR 511.12]). Der Beschwerdeführer bringt zwar vor, dass er dienstwillig gewesen sei, entsprechende Belege liegen der Steuerrekurskommission aber nicht vor. Es bestehen auch keine Hinweise, dass er aktiv nach diesem speziellen Dienst gefragt hätte. Zudem ist der Steuerrekurskommission nicht gänzlich klar, was er mit seinen Ausführungen überhaupt bezwecken möchte. Soweit er eine Verletzung von Art. 8 i.V.m. Art. 14 EMRK rügen würde, ist dieses Vorbringen aufgrund der Möglichkeit des alternativen Dienstes nicht einschlägig.</w:t>
      </w:r>
    </w:p>
    <w:p>
      <w:r>
        <w:rPr>
          <w:b/>
        </w:rPr>
        <w:t>E. 7</w:t>
      </w:r>
    </w:p>
    <w:p>
      <w:r>
        <w:t>Zusammenfassend ist festzuhalten, dass sowohl der Hauptantrag (gänzliche Befreiung) wie auch der Eventualantrag (prozentuale Festlegung der Höhe anstelle des Mindestbetrags) abzulehnen sind, da die Mindestabgabe nicht die EMRK verletzt, was zur Abweisung der Be- schwerde führt.</w:t>
      </w:r>
    </w:p>
    <w:p>
      <w:r>
        <w:t>- 14 -</w:t>
      </w:r>
    </w:p>
    <w:p>
      <w:r>
        <w:rPr>
          <w:b/>
        </w:rPr>
        <w:t>E. 8</w:t>
      </w:r>
    </w:p>
    <w:p>
      <w:r>
        <w:t>Bei diesem Ausgang des Verfahrens wird der Beschwerdeführer grundsätzlich kosten- pflichtig (Art. 31 Abs. 2 und 2 bis WPEG i.V.m. Art. 1, 2, 53, 58 und 59 des Dekrets vom 24. März 2010 betreffend die Verfahrenskosten und die Verwaltungsgebühren der Gerichts- behörden und der Staatsanwaltschaft [Verfahrenskostendekret, VKD; BSG 161.12]). Vorliegend ist indessen dem Umstand der Verletzung des rechtlichen Gehörs durch das BSM Rechnung zu tragen (E. 3.5). Diese Gehörsverletzung rechtfertigt es, dem Beschwerdeführer ausnahmsweise keine Verfahrenskosten aufzuerlegen. Soweit der Beschwerdeführer um unentgeltliche Rechts- pflege ersucht, wird das Gesuch damit gegenstandslos.</w:t>
      </w:r>
    </w:p>
    <w:p>
      <w:r>
        <w:rPr>
          <w:b/>
        </w:rPr>
        <w:t>E. 9</w:t>
      </w:r>
    </w:p>
    <w:p>
      <w:r>
        <w:t>Ist der Beschwerdeführer vertreten, so kann bei ganz- oder teilweisem Obsiegen eine Parteientschädigung gesprochen werden. Da der Beschwerdeführer im vorliegenden Fall unter- liegt und er auch nicht vertreten ist, werden keine Parteikosten gesprochen (Art. 31 Abs. 2bis WPEG i.V.m. Art. 104 ff. VRPG).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