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2023 231 vom 22. Mai 2023</w:t>
      </w:r>
    </w:p>
    <w:p>
      <w:r>
        <w:t>BE Steuerrekursgericht, 2023-05-22, DE</w:t>
      </w:r>
    </w:p>
    <w:p>
      <w:r>
        <w:rPr>
          <w:b/>
        </w:rPr>
        <w:t xml:space="preserve">Quelle: </w:t>
      </w:r>
      <w:r>
        <w:t>https://mcp.opencaselaw.ch/entscheid/be_steuerrekurs_100_2023_231</w:t>
      </w:r>
    </w:p>
    <w:p>
      <w:r>
        <w:t>FR: BE_STEUERREKURS 100 2023 231 du 22 mai 2023</w:t>
      </w:r>
    </w:p>
    <w:p>
      <w:r>
        <w:t>IT: BE_STEUERREKURS 100 2023 231 del 22 maggio 2023</w:t>
      </w:r>
    </w:p>
    <w:p>
      <w:pPr>
        <w:pStyle w:val="Heading2"/>
      </w:pPr>
      <w:r>
        <w:t>Regeste</w:t>
      </w:r>
    </w:p>
    <w:p>
      <w:r>
        <w:t>Vermögenssteuerbremse / Darlehen hat keinen Einfluss auf Höhe der Vermögenssteuer / keine Beschwer | die kantonalen Steuern</w:t>
      </w:r>
    </w:p>
    <w:p>
      <w:pPr>
        <w:pStyle w:val="Heading2"/>
      </w:pPr>
      <w:r>
        <w:t>Erwägungen</w:t>
      </w:r>
    </w:p>
    <w:p>
      <w:r>
        <w:rPr>
          <w:b/>
        </w:rPr>
        <w:t>E. 1</w:t>
      </w:r>
    </w:p>
    <w:p>
      <w:r>
        <w:t>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w:t>
      </w:r>
    </w:p>
    <w:p>
      <w:r>
        <w:rPr>
          <w:b/>
        </w:rPr>
        <w:t>E. 2</w:t>
      </w:r>
    </w:p>
    <w:p>
      <w:r>
        <w:t>Hinsichtlich der direkten Bundessteuer ist zu bemerken, dass der Rekurrent einzig die Darlehensanrechnung bei der Vermögenssteuer bemängelt. Die Vermögenssteuer wird aber nur auf kantonaler Ebene erhoben und betrifft die direkte Bundessteuer nicht. Zudem hat der Rekurrent die Eingabe vom 8. Juni 2023 eindeutig mit Rekurs bezeichnet und es fehlt jede Er- wähnung der direkten Bundessteuer. Es ist daher festzustellen, dass hinsichtlich der direkten Bundessteuer weder eine Beschwerde noch ein Anfechtungsobjekt vorliegen, weshalb das Ver- fahren diesbezüglich als gegenstandslos abzuschreiben ist.</w:t>
      </w:r>
    </w:p>
    <w:p>
      <w:r>
        <w:rPr>
          <w:b/>
        </w:rPr>
        <w:t>E. 3</w:t>
      </w:r>
    </w:p>
    <w:p>
      <w:r>
        <w:t>Die Rekursbefugnis der steuerpflichtigen Person richtet sich nach den allgemeinen Legi- timationsvoraussetzungen. Gemäss Art. 65 Abs. 1 des Gesetzes vom 23. Mai 1989 über die Verwaltungsrechtspflege (VRPG; BSG 155.21; i.V.m. Art. 151 StG und Art. 3 BStV) ist rekurs- befugt, wer am vorinstanzlichen Verfahren teilgenommen hat und mit seinen Anträgen ganz oder teilweise unterlegen ist (formelle Beschwer), durch die angefochtenen Entscheide beson- ders berührt ist und ein schutzwürdiges Interesse an deren Aufhebung oder Änderung hat (ma- terielle Beschwer; vgl. dazu etwa VGE 100 2023 12 vom 27.6.2023, E. 1.2).</w:t>
      </w:r>
    </w:p>
    <w:p>
      <w:r>
        <w:t>- 5 -</w:t>
      </w:r>
    </w:p>
    <w:p>
      <w:r>
        <w:rPr>
          <w:b/>
        </w:rPr>
        <w:t>E. 3.1</w:t>
      </w:r>
    </w:p>
    <w:p>
      <w:r>
        <w:t>Der Rekurrent ist im vorinstanzlichen Verfahren mit seinem Antrag nicht durchgedrungen und insofern formell beschwert.</w:t>
      </w:r>
    </w:p>
    <w:p>
      <w:r>
        <w:rPr>
          <w:b/>
        </w:rPr>
        <w:t>E. 3.2</w:t>
      </w:r>
    </w:p>
    <w:p>
      <w:r>
        <w:t>Ein schutzwürdiges Interesse liegt vor, wenn die tatsächliche oder rechtliche Situation der betroffenen Person durch den Ausgang des Verfahrens beeinflusst werden kann, so dass von der Abwendung eines materiellen oder ideellen Nachteils gesprochen werden kann. Dieses Rechtsschutzinteresse liegt auf der Hand, wenn die steuerpflichtige Person eine tiefere Steuer- belastung anstrebt, nicht aber im umgekehrten Fall: Wird eine Abänderung der Steuerfaktoren zum eigenen Nachteil beantragt, fehlt es in der Regel an einem schutzwürdigen Interesse. Ebenso fehlt das Rechtsschutzinteresse, wenn die gestellten Anträge nicht erkennbar auf eine Abänderung der Steuerfaktoren abzielen und das Rechtsmittel letztlich auf eine blosse Überprü- fung der Entscheidgründe hinausläuft (VGE 100 2016 214/215 vom 1.12.2017, E. 2.2, mit wei- teren Hinweisen; BGer 2C_1000/2021 vom 29.12.2022, E. 2.2, mit weiteren Hinweisen).</w:t>
      </w:r>
    </w:p>
    <w:p>
      <w:r>
        <w:rPr>
          <w:b/>
        </w:rPr>
        <w:t>E. 3.2.1</w:t>
      </w:r>
    </w:p>
    <w:p>
      <w:r>
        <w:t>Der Rekurrent beantragt, dass das Wertschriftenvermögen (Ziffer 3.0 der Details des Einspracheentscheids, pag. 87) angemessen zu reduzieren sei. Wegen der Begrenzung der Vermögenssteuer nach Art. 66 StG (sog. Vermögenssteuerbremse) bleibt mithin fraglich, ob sich aufgrund dieses Rechtsbegehrens überhaupt eine geringere Steuerbelastung ergeben würde, der Rekurrent mithin beschwert ist.</w:t>
      </w:r>
    </w:p>
    <w:p>
      <w:r>
        <w:rPr>
          <w:b/>
        </w:rPr>
        <w:t>E. 3.2.2</w:t>
      </w:r>
    </w:p>
    <w:p>
      <w:r>
        <w:t>Gemäss der Vermögenssteuerbremse erfolgt die Ermässigung der Vermögenssteuer, indem die ordentliche Vermögenssteuer auf 25 % des Vermögensertrags reduziert wird. In je- dem Fall, also bspw. auch dann, wenn das Vermögen des Steuerpflichtigen keinerlei Erträge abwirft, hat der Steuerpflichtige jedoch eine Mindeststeuer in der Höhe von 2.4 Promille des steuerbaren Vermögens zu leisten (Art. 66 Abs. 1 StG). Zum Vermögensertrag im Sinn von Art. 66 Abs. 1 StG gehören die Einkünfte aus beweglichem und unbeweglichen Vermögen so- wie ein Zins auf dem steuerbaren Geschäftsvermögen, höchstens im Ausmass der Einkünfte aus der selbstständigen Erwerbstätigkeit. Der Zinssatz entspricht demjenigen für die Berech- nung des AHV-pflichtigen Erwerbseinkommens (Art. 66 Abs. 2 StG).</w:t>
      </w:r>
    </w:p>
    <w:p>
      <w:r>
        <w:rPr>
          <w:b/>
        </w:rPr>
        <w:t>E. 3.2.3</w:t>
      </w:r>
    </w:p>
    <w:p>
      <w:r>
        <w:t>Vorliegend beträgt das "Total Nettoertrag Wertschriften" unbestritten CHF 30'526.--, wei- tere Vermögenserträge erwirtschaftet der Rekurrent nicht (pag. 87 und pag. 61). 25 % von CHF 30'526.-- ergeben CHF 7'631.50, womit die Vermögenssteuer vorliegend aufgrund der Vermögenssteuerbremse maximal CHF 7'631.50 betragen darf. Um von dieser maximalen Vermögenssteuer auf die in der Veranlagung bzw. dem Einspracheentscheid dargestellte einfa- che Steuer zu kommen, muss diese durch die Steueranlagen (gesamthaft ausmachend 4.784, bestehend aus 3.06 hinsichtlich der kantonalen Steuer, 1.54 hinsichtlich der kommunalen Steu- er und 0.184 hinsichtlich der Kirchensteuer) geteilt werden, also CHF 7'631.50 geteilt durch</w:t>
      </w:r>
    </w:p>
    <w:p>
      <w:r>
        <w:t>- 6 - 4.784. Die so errechnete (totale) einfache Vermögenssteuer von CHF 1'595.20 (gerundet) er- gibt sich aus dem Einspracheentscheid (pag. 89) bzw. der ursprünglichen Veranlagung (pag. 63) des Rekurrenten. Weiter ergibt sich daraus, dass die Reduktion der Vermögenssteuer nach Art. 66 StG (CHF -1'911.--) der Differenz zwischen der tarifmässigen einfachen Vermö- genssteuer (CHF 3'506.20) und dem aufgrund der Vermögenssteuerbremse höchstens zulässi- gen Total der einfachen Vermögenssteuer (CHF 1'592.20) entspricht. Steuerfaktoren Steuersatz % Einfache Steuer CHF Steuerbar Satzbestimmend Vermögen 3'029'000 3'029'000 0.115754 3'506.20 Reduktion Vermögenssteuer nach Art. 66 StG -1'911.00 Total einfache Vermögenssteuer 1'595.20 Wird die einfache Vermögenssteuer (CHF 1'595.20) im Sinne einer Kontrollrechnung mit der Steueranlage von 4.784 multipliziert, resultiert die veranlagte Vermögenssteuer von CHF 7'631.44 (entsprechend CHF 7'631.50 abgesehen von einer kleinen Rundungsdifferenz von CHF 0.06).</w:t>
      </w:r>
    </w:p>
    <w:p>
      <w:r>
        <w:rPr>
          <w:b/>
        </w:rPr>
        <w:t>E. 3.2.4</w:t>
      </w:r>
    </w:p>
    <w:p>
      <w:r>
        <w:t>Nach den Berechnungen der Steuerrekurskommission ergibt sich bei einem Vermögen von CHF 2'532'988.-- bzw. gerundet nach Art. 65 Abs. 4 StG CHF 2'532'000.-- (was einer vollständigen Abschreibung der Darlehen entsprechen würde) folgendes Bild (Darstellung ent- sprechend dem Einspracheentscheid bzw. der Veranlagung, berechnet im von der Steuerver- waltung publizierten Berechnungsformular zu Art. 66 StG, einsehbar unter: &lt;htt- ps://www.sv.fin.be.ch/de/start.html&gt;, Rubriken "Berechnen &gt; Privatpersonen inkl. selbstständig Erwerbstätige, Landwirtinnen/-wirte &gt; Vermögenssteuerbremse &gt; Berechnung der Vermögens- steuer nach Art. 66 StG"): Steuerfaktoren Steuersatz % Einfache Steuer CHF Steuerbar Satzbestimmend Vermögen (ohne Darlehen) 2'532'000 2'532'000 0.112958 2'860.10 Reduktion Vermögenssteuer nach Art. 66 StG -1'264.90 Total einfache Vermögenssteuer 1'595.20</w:t>
      </w:r>
    </w:p>
    <w:p>
      <w:r>
        <w:t>- 7 - Der Steuersatz richtet sich nach Art. 65 Abs. 1 StG. Das heisst, bei einem Vermögen von CHF 2'532'000.-- beträgt dieser 0.112958, was eine einfache Vermögenssteuer von CHF 2'860.10 ergibt. Da das Total der einfachen Vermögenssteuer bei geringerem Vermögen gleich hoch bleibt wie bei Berücksichtigung der Darlehen, nämlich CHF 1'595.20 (vgl. E. 3.2.3 und pag. 89), ergibt sich bei Multiplikation mit der Steueranlage von 4.87 auch hier eine Vermögenssteuer von CHF 7'631.44.</w:t>
      </w:r>
    </w:p>
    <w:p>
      <w:r>
        <w:rPr>
          <w:b/>
        </w:rPr>
        <w:t>E. 3.2.5</w:t>
      </w:r>
    </w:p>
    <w:p>
      <w:r>
        <w:t>Somit kann festgehalten werden, dass sich auch bei einer vollständigen Abschreibung der Darlehen (sinngemässes Rechtsbegehren des Rekurrenten) nichts am geschuldeten Ver- mögenssteuerbetrag ändern würde. Dies aufgrund des Umstands, dass die Darlehen unver- zinslich gewährt wurden (und auch keine Zinsen bezahlt worden sind, pag. 77) und sie somit keinen Einfluss auf den Vermögensertrag und folgedessen auch keinen Einfluss auf den Ver- mögenssteuerbetrag haben. Folglich hätte auch eine Gutheissung des Rechtsbegehrens des Rekurrenten, das Wertschriftenvermögen entsprechend den gewährten Darlehen zu reduzieren, keine Änderung der geschuldeten Vermögensteuer zur Folge. Somit bleibt der Vollständigkeit halber noch zu prüfen, ob trotzdem ein allfälliges schutzwürdiges Interesse an der Aufhebung bzw. der Änderung des Einspracheentscheids besteht.</w:t>
      </w:r>
    </w:p>
    <w:p>
      <w:r>
        <w:rPr>
          <w:b/>
        </w:rPr>
        <w:t>E. 3.2.6</w:t>
      </w:r>
    </w:p>
    <w:p>
      <w:r>
        <w:t>Im vorliegenden Fall steht mit den Darlehen ein erhebliches Vermögen von (bis zu) CHF 496'317.-- in Frage. Das steuerbare bzw. das satzbestimmende Vermögen sind Steuerfak- toren, die nach Art. 175 Abs. 1 Bst. a und Bst. b StG verbindlich festzusetzen sind und die als Teil des Dispositivs rechtskräftig werden (BGE 140 I 114 E. 2.4.2 f.). Diese Steuerfaktoren ha- ben vorliegend aber keine weitere Bedeutung, als dass sie Grundlage der Steuerberechnung bilden (wobei, wie schon erwähnt, die [Nicht-]Berücksichtigung der Darlehen keinen Einfluss auf den Wertschriftennettoertrag und damit auf die aufgrund der Vermögenssteuerbremse errech- nete Vermögenssteuer hat). Zudem ist keine interkantonale Steuerausscheidung vorzunehmen, für welche die Vermögenssteuerfaktoren massgebend wären und auf welche deren Abände- rung einen Einfluss hätte. Darüber hinaus ist vorliegend kein anderes Rechtsgebiet ersichtlich, welches zwingend auf die steuerrechtliche Beurteilung abstellen würde (z.B. AHV, Krankenkas- senprämienverbilligungen etc.; Richner/Frei/Kaufmann/Rohner, Handkommentar zum DBG,</w:t>
      </w:r>
    </w:p>
    <w:p>
      <w:r>
        <w:rPr>
          <w:b/>
        </w:rPr>
        <w:t>E. 3.3</w:t>
      </w:r>
    </w:p>
    <w:p>
      <w:r>
        <w:t>Dementsprechend ist der Rekurrent durch den Einspracheentscheid betreffend der voll- umfänglich berücksichtigten Darlehen nicht beschwert, weshalb auf den Rekurs nicht einzutre- ten ist.</w:t>
      </w:r>
    </w:p>
    <w:p>
      <w:r>
        <w:rPr>
          <w:b/>
        </w:rPr>
        <w:t>E. 3.4</w:t>
      </w:r>
    </w:p>
    <w:p>
      <w:r>
        <w:t>Aufgrund dieses Nichteintretens erübrigt sich eine weitere Prüfung der Angelegenheit. Es kann insofern offengelassen werden, ob bzw. inwiefern die Darlehen allenfalls gefährdete For- derungen darstellen und wie hoch die Verlustwahrscheinlichkeit tatsächlich ist (vgl. Art. 49 Abs. 3 StG).</w:t>
      </w:r>
    </w:p>
    <w:p>
      <w:r>
        <w:rPr>
          <w:b/>
        </w:rPr>
        <w:t>E. 4</w:t>
      </w:r>
    </w:p>
    <w:p>
      <w:r>
        <w:t>Da auf den Rekurs nicht eingetreten werden kann, fallen die vorliegenden Entscheide in die einzelrichterliche Zuständigkeit (Art. 70 Abs. 4 Bst. a des Gesetzes vom 11. Juni 2009 über die Organisation der Gerichtsbehörden und der Staatsanwaltschaft [GSOG; BSG 161.1]).</w:t>
      </w:r>
    </w:p>
    <w:p>
      <w:r>
        <w:rPr>
          <w:b/>
        </w:rPr>
        <w:t>E. 5</w:t>
      </w:r>
    </w:p>
    <w:p>
      <w:r>
        <w:t>Da ein Nichteintreten als Unterliegen gewertet wird, ist der Rekurrent kostenpflichtig. Er hat die gesamten Verfahrenskosten zu tragen (Art. 144 Abs. 1 und 5 DBG sowie Art. 200 Abs. 1 StG i.V.m. Art. 1, 2, 53, 58 und 59 des Dekrets vom 24. März 2010 betreffend die Verfahrens- kosten und die Verwaltungsgebühren der Gerichtsbehörden und der Staatsanwaltschaft [Ver- fahrenskostendekret, VKD; BSG 161.12]). Demnach sind die Verfahrenskosten, welche festge- setzt werden auf CHF 800.--, dem Rekurrenten aufzuerlegen und mit dem geleisteten Kosten- vorschuss zu verrechnen.</w:t>
      </w:r>
    </w:p>
    <w:p>
      <w:r>
        <w:rPr>
          <w:b/>
        </w:rPr>
        <w:t>E. 6</w:t>
      </w:r>
    </w:p>
    <w:p>
      <w:r>
        <w:t>Ist der Rekurrent vertreten, so kann bei ganz- oder teilweisem Obsiegen eine Parteien- tschädigung gesprochen werden. Da der Rekurrent im vorliegenden Fall unterliegt und da er auch nicht vertreten ist, werden keine Parteikosten gesprochen (Art. 200 Abs. 4 StG sowie Art. 144 Abs. 4 DBG i.V.m. Art. 64 Abs. 1 des Bundesgesetzes vom 20. Dezember 1968 über das Verwaltungsverfahren [Verwaltungsverfahrensgesetz, VwVG; SR 172.021]).</w:t>
      </w:r>
    </w:p>
    <w:p>
      <w:r>
        <w:t>- 9 - Aus diesen Gründen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