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2020 197 vom 16. März 2021</w:t>
      </w:r>
    </w:p>
    <w:p>
      <w:r>
        <w:t>BE Steuerrekursgericht, 2021-03-16, DE</w:t>
      </w:r>
    </w:p>
    <w:p>
      <w:r>
        <w:rPr>
          <w:b/>
        </w:rPr>
        <w:t xml:space="preserve">Quelle: </w:t>
      </w:r>
      <w:r>
        <w:t>https://mcp.opencaselaw.ch/entscheid/be_steuerrekurs_100_2020_197</w:t>
      </w:r>
    </w:p>
    <w:p>
      <w:r>
        <w:t>FR: BE_STEUERREKURS 100 2020 197 du 16 mars 2021</w:t>
      </w:r>
    </w:p>
    <w:p>
      <w:r>
        <w:t>IT: BE_STEUERREKURS 100 2020 197 del 16 marzo 2021</w:t>
      </w:r>
    </w:p>
    <w:p>
      <w:pPr>
        <w:pStyle w:val="Heading2"/>
      </w:pPr>
      <w:r>
        <w:t>Regeste</w:t>
      </w:r>
    </w:p>
    <w:p>
      <w:r>
        <w:t>Kantonale Steuern und direkte Bundessteuer 2018 - Steuerrechtliche Zulässigkeit von gestaffelten BVG-Kapitalbezügen bei Teilpensionierung, Vermutung e. Steuerumgehung bei Unterschreiten von 1 Jahr zwischen (Teil-)Pensionierungsschritten. | die kantonalen Steuern</w:t>
      </w:r>
    </w:p>
    <w:p>
      <w:pPr>
        <w:pStyle w:val="Heading2"/>
      </w:pPr>
      <w:r>
        <w:t>Volltext</w:t>
      </w:r>
    </w:p>
    <w:p>
      <w:r>
        <w:t>Bern Steuerrekurskommission 16.03.2021 100 2020 197 Berne Commission des recours en matière fiscale 16.03.2021 100 2020 197 Berna Steuerrekurskommission 16.03.2021 100 2020 197</w:t>
      </w:r>
    </w:p>
    <w:p>
      <w:r>
        <w:t>Kantonale Steuern und direkte Bundessteuer 2018 - Steuerrechtliche Zulässigkeit von gestaffelten BVG-Kapitalbezügen bei Teilpensionierung, Vermutung e. Steuerumgehung bei Unterschreiten von 1 Jahr zwischen (Teil-)Pensionierungsschritten. | die kantonalen Steuern</w:t>
      </w:r>
    </w:p>
    <w:p>
      <w:r>
        <w:t>Bern Steuerrekurskommission Berne Commission des recours en matière fiscale Berna Steuerrekurskommission Kommissionsentscheide (KE)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