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140 2024 110 vom 24. Januar 2025</w:t>
      </w:r>
    </w:p>
    <w:p>
      <w:r>
        <w:t>Be Bvd, 2025-01-24, DE</w:t>
      </w:r>
    </w:p>
    <w:p>
      <w:r>
        <w:rPr>
          <w:b/>
        </w:rPr>
        <w:t xml:space="preserve">Quelle: </w:t>
      </w:r>
      <w:r>
        <w:t>https://mcp.opencaselaw.ch/entscheid/be_bvd_140_2024_110</w:t>
      </w:r>
    </w:p>
    <w:p>
      <w:r>
        <w:t>FR: BE_BVD 140 2024 110 du 24 janvier 2025</w:t>
      </w:r>
    </w:p>
    <w:p>
      <w:r>
        <w:t>IT: BE_BVD 140 2024 110 del 24 gennaio 2025</w:t>
      </w:r>
    </w:p>
    <w:p>
      <w:pPr>
        <w:pStyle w:val="Heading2"/>
      </w:pPr>
      <w:r>
        <w:t>Regeste</w:t>
      </w:r>
    </w:p>
    <w:p>
      <w:r>
        <w:t>Verkehrsbeschränkung; Tempo 30</w:t>
      </w:r>
    </w:p>
    <w:p>
      <w:pPr>
        <w:pStyle w:val="Heading2"/>
      </w:pPr>
      <w:r>
        <w:t>Erwägungen</w:t>
      </w:r>
    </w:p>
    <w:p>
      <w:r>
        <w:rPr>
          <w:b/>
        </w:rPr>
        <w:t>E. 1</w:t>
      </w:r>
    </w:p>
    <w:p>
      <w:r>
        <w:t>Art. 7 der Verordnung vom 18. Oktober 1995 über die Organisation und die Aufgaben der Bau- und Verkehrsdirektion (Organisationsverordnung BVD, OrV BVD; BSG 152.221.191)</w:t>
      </w:r>
    </w:p>
    <w:p>
      <w:r>
        <w:rPr>
          <w:b/>
        </w:rPr>
        <w:t>E. 2</w:t>
      </w:r>
    </w:p>
    <w:p>
      <w:r>
        <w:t>Strassengesetz vom 4. Juni 2008 (SG; BSG 732.11)</w:t>
      </w:r>
    </w:p>
    <w:p>
      <w:r>
        <w:rPr>
          <w:b/>
        </w:rPr>
        <w:t>E. 3</w:t>
      </w:r>
    </w:p>
    <w:p>
      <w:r>
        <w:t>Gesetz vom 23. Mai 1989 über die Verwaltungsrechtspflege (VRPG; BSG 155.21)</w:t>
      </w:r>
    </w:p>
    <w:p>
      <w:r>
        <w:rPr>
          <w:b/>
        </w:rPr>
        <w:t>E. 4</w:t>
      </w:r>
    </w:p>
    <w:p>
      <w:r>
        <w:t>Michel Daum, in Kommentar zum bernischen VRPG, 2. Aufl. 2020, Art. 32 N. 17</w:t>
      </w:r>
    </w:p>
    <w:p>
      <w:r>
        <w:rPr>
          <w:b/>
        </w:rPr>
        <w:t>E. 5</w:t>
      </w:r>
    </w:p>
    <w:p>
      <w:r>
        <w:t>BVR 2015 S. 468 E. 4.2; Michel Daum, in Kommentar zum bernischen VRPG, Art. 32 N. 18 und 13</w:t>
      </w:r>
    </w:p>
    <w:p>
      <w:r>
        <w:rPr>
          <w:b/>
        </w:rPr>
        <w:t>E. 6</w:t>
      </w:r>
    </w:p>
    <w:p>
      <w:r>
        <w:t>BVR 2006 S. 470 E. 2.4; Michel Daum, in Kommentar zum bernischen VRPG, Art. 32 N. 22</w:t>
      </w:r>
    </w:p>
    <w:p>
      <w:r>
        <w:t>BVD 140/2024/110 3/5 sinngemäss die Aufhebung der angefochtenen Verfügung betreffend Herabsetzung der Höchst- geschwindigkeit auf 30 km/h beantragt. Die Beschwerde ist zudem innert 30 Tagen seit Veröffent- lichung der Verfügung im Anzeiger Oberes Emmental eingereicht worden. Die Bestimmungen über Form und Frist sind somit eingehalten. c) Das Verfahren ist auf den Streitgegenstand beschränkt. Ausgangspunkt für dessen Bestim- mung bildet die angefochtene Verfügung bzw. der angefochtene Entscheid, das sog. Anfechtungs- objekt. Dieses gibt den Rahmen des Streitgegenstands vor, d. h. der Streitgegenstand kann nicht über das hinausgehen, was die Vorinstanz geregelt hat.7 Gegenstand des Beschwerdeverfahrens bildet die verfügte Verkehrsbeschränkung auf dem konkreten Strassenabschnitt. Soweit der Be- schwerdeführer in seiner Beschwerde «eine Montage eines Spiegels von der Ausfahrt Käserei Kehr in die Strasse Trub - Fankhaus, beim Weierhausstöckli […]» und die Entfernung der «hohen Pflanzen an der Mauer zum Sternen entlang» beantragt, liegen diese Begehren ausserhalb des Streitgegenstands, weshalb insoweit nicht auf die Beschwerde eingetreten werden kann. d) Gemäss Art. 65 Abs. 1 VRPG ist zur Beschwerde befugt, wer vor der Vorinstanz am Ver- fahren teilgenommen oder keine Möglichkeit zur Teilnahme erhalten hat (Bst. a; sog. formelle Beschwer), durch die angefochtene Verfügung besonders berührt ist (Bst. b) und ein schutzwür- diges Interesse an deren Aufhebung oder Änderung hat (Bst. c; sog. materielle Beschwer). Ange- fochten ist eine Allgemeinverfügung, die ohne Beteiligung des Beschwerdeführers erging. Bei Ver- kehrsanordnungen wie den hier umstrittenen können sich Betroffene erst im Rechtsmittelverfah- ren äussern, weshalb vom Erfordernis der formellen Beschwer abzusehen ist (vgl. Art. 107 Abs. 1 SSV8). Zu prüfen ist hingegen nachfolgend, ob der Beschwerdeführer materiell beschwert ist.9 2. Beschwerdelegitimation a) Die materielle Beschwer hat zum Zweck, den Kreis der Anfechtungsberechtigten auf ein sinnvolles Mass zu beschränken und die sogenannte Popularbeschwerde auszuschliessen. Das Erfordernis will sicherstellen, dass die anfechtende Person über eine genügend enge, spezifische, besondere Beziehungsnähe zur Streitsache verfügt. Besonderes Berührtsein und schutzwürdiges Interesse hängen eng zusammen; sie lassen sich nicht klar trennen und umschreiben letztlich ein und dieselbe Voraussetzung aus zwei verschiedenen Blickwinkeln: Besonders berührt ist, wer vom Anfechtungsobjekt nachteilig betroffen ist, also durch dieses einen objektiven (rechtlichen, wirtschaftlichen oder ideellen) Nachteil erleidet. Das schutzwürdige Interesse liegt dann vor, wenn die anfechtende Person aus der Gutheissung der Beschwerde und der damit verbundenen Auf- hebung oder Änderung des Anfechtungsobjekts einen praktischen Nutzen ziehen könnte.10 Wer keine eigenen, sondern nur allgemeine oder öffentliche Interessen geltend machen kann, ist nicht zur Beschwerde befugt.11 Ob die Beschwerdebefugnis gegeben ist, hat die Behörde von Amtes wegen zu prüfen (Art. 20a VRPG). Die massgebenden Sachumstände hierfür erhellt sie im Rah- men ihrer Untersuchungspflicht (Art. 18 VRPG). Wenn nötig ist damit (auch) für die Eintretensfrage ein Beweisverfahren durchzuführen. Dabei trifft die rechtsuchende Person jedoch eine Mitwir- kungspflicht und Substanziierungslast. Sie muss in ihrer Beschwerde darlegen, aus welchen Um- ständen sich ihre Beschwerdeberechtigung ergeben soll. Das besondere Berührtsein bzw. das unmittelbare Betroffensein muss aufgrund der Würdigung aller rechtlich erheblichen Sachverhalts-</w:t>
      </w:r>
    </w:p>
    <w:p>
      <w:r>
        <w:rPr>
          <w:b/>
        </w:rPr>
        <w:t>E. 7</w:t>
      </w:r>
    </w:p>
    <w:p>
      <w:r>
        <w:t>Ruth Herzog, in Kommentar zum bernischen VRPG, 2. Aufl. 2020, Art. 72 N. 12; Michel Daum, in Kommentar zum bernischen VRPG, 2. Aufl. 2020, Art. 20a N. 5 ff.</w:t>
      </w:r>
    </w:p>
    <w:p>
      <w:r>
        <w:rPr>
          <w:b/>
        </w:rPr>
        <w:t>E. 8</w:t>
      </w:r>
    </w:p>
    <w:p>
      <w:r>
        <w:t>Signalisationsverordnung des Bundesrats vom 5. September 1979 (SSV; SR 741.21)</w:t>
      </w:r>
    </w:p>
    <w:p>
      <w:r>
        <w:rPr>
          <w:b/>
        </w:rPr>
        <w:t>E. 9</w:t>
      </w:r>
    </w:p>
    <w:p>
      <w:r>
        <w:t>BVR 2021 S. 517 E. 2.1</w:t>
      </w:r>
    </w:p>
    <w:p>
      <w:r>
        <w:rPr>
          <w:b/>
        </w:rPr>
        <w:t>E. 10</w:t>
      </w:r>
    </w:p>
    <w:p>
      <w:r>
        <w:t>BVR 2021 S. 517 E. 2.7 mit weiteren Hinweisen</w:t>
      </w:r>
    </w:p>
    <w:p>
      <w:r>
        <w:rPr>
          <w:b/>
        </w:rPr>
        <w:t>E. 11</w:t>
      </w:r>
    </w:p>
    <w:p>
      <w:r>
        <w:t>Vgl. BGE 136 II 539 E. 1.1</w:t>
      </w:r>
    </w:p>
    <w:p>
      <w:r>
        <w:t>BVD 140/2024/110 4/5 elemente glaubhaft erscheinen.12 Die besondere, beachtenswerte Beziehungsnähe ist aber von der beschwerdeführenden Person selbst darzulegen und nachzuweisen, da sich die Begrün- dungspflicht auch auf die Frage der Beschwerdebefugnis erstreckt. b) Bei der angefochtenen Verfügung bezüglich Herabsetzung der Höchstgeschwindigkeit han- delt es sich um eine Allgemeinverfügung, da der Adressatenkreis dieser Verkehrsanordnung offen ist. Es ist eine sogenannte funktionelle Verkehrsanordnung im Sinne von Art. 3 Abs. 4 SVG13. Gemäss der Rechtsprechung des Bundesgerichts ist auf dem Gebiet der funktionellen Verkehrs- beschränkungen die Beschwerdebefugnis zu bejahen, wenn Verkehrsteilnehmende die mit der Beschränkung belegte Strasse mehr oder weniger regelmässig benutzen. Dies ist insbesondere bei Anwohnerinnen und Anwohnern oder Pendlerinnen und Pendlern der Fall, die auf das Befah- ren des fraglichen Strassenabschnitts angewiesen sind. Demgegenüber genügt das bloss gele- gentliche Befahren der Strasse nicht.14 Gemäss Rechtsprechung kann angenommen werden, dass Personen, die in unmittelbarer Nähe der betroffenen Strasse wohnen oder gewerblich tätig sind, diese Strasse mit einer gewissen Regelmässigkeit befahren und deshalb zur Beschwerde befugt sind. Dabei wird die Beschwerdebefugnis von Anwohnerinnen und Anwohnern ohne wei- teres bejaht, jene von Personen, die in der Nähe wohnen oder arbeiten, je nach konkreter örtlicher Erschliessungssituation. Bei den übrigen Personen (einfache Verkehrsteilnehmende bzw. Stras- senbenützende) ist das regelmässige Befahren der Strasse nicht ohne weiteres glaubhaft und im Einzelfall näher zu begründen.15 c) Der Beschwerdeführer wohnt nicht in unmittelbarer Nähe des von der Verkehrsbeschrän- kungsmassnahme betroffenen Strassenabschnitts, sondern mehr als 5 km davon entfernt. Gemäss den nachvollziehbaren und unbestrittenen Angaben der Gemeinde erfolgt die Zufahrt zu seinem Wohnort auch nicht über die Dorfstrasse. Es liegt somit nicht auf der Hand, dass er diesen Strassenabschnitt regelmässig befährt. Seine Beschwerdelegitimation ist daher nicht offenkundig, sondern bedarf einer näheren Begründung. Da der Beschwerdeführer in seiner Beschwerde nicht dargelegt hatte, warum er beschwerdelegitimiert sei, wurde er auf diesen Mangel aufmerksam gemacht. Er erhielt ausdrücklich Gelegenheit, dies nachzuholen. Der Beschwerdeführer machte von dieser Möglichkeit innert Frist jedoch keinen Gebrauch. In seinen Schlussbemerkungen machte er dann einzig geltend, er sei als Vorstandsmitglied des B.________ zur Einsprache legi- timiert. Er erläuterte dies jedoch nicht näher. Er machte insbesondere nicht geltend, er müsse in seiner Funktion als Vorstandsmitglied des B.________ das betroffene Strassenstück regelmässig befahren. Damit kommt der Beschwerdeführer seiner Mitwirkungspflicht nicht genügend nach. Er legt in keiner Weise dar, inwiefern er von der umstrittenen Herabsetzung der Höchstgeschwindig- keit auf der Dorfstrasse in besonderem Masse betroffen sein soll. Mangels Angaben des Be- schwerdeführers lässt sich daher nicht beurteilen, ob er als Pendler von der angefochtenen Ver- fügung besonders berührt ist und ob er ein schutzwürdiges Interesse an deren Aufhebung hat. Der Beschwerdeführer kommt seiner Begründungspflicht in dieser Hinsicht nicht nach, weshalb auf die Beschwerde nicht eingetreten werden kann. 3. Kosten Bei diesem Ausgang des Verfahrens unterliegt der Beschwerdeführer. Er hat deshalb die Verfah- renskosten zu tragen. Diese werden bestimmt auf eine Pauschalgebühr von CHF 800. (Art. 103</w:t>
      </w:r>
    </w:p>
    <w:p>
      <w:r>
        <w:rPr>
          <w:b/>
        </w:rPr>
        <w:t>E. 12</w:t>
      </w:r>
    </w:p>
    <w:p>
      <w:r>
        <w:t>Michael Pflüger, in Kommentar zum bernischen VRPG, 2. Aufl. 2020, Art. 65 N. 3; BVR 2021 S. 517 E. 2.2</w:t>
      </w:r>
    </w:p>
    <w:p>
      <w:r>
        <w:rPr>
          <w:b/>
        </w:rPr>
        <w:t>E. 13</w:t>
      </w:r>
    </w:p>
    <w:p>
      <w:r>
        <w:t>Strassenverkehrsgesetz des Bundes vom 19. Dezember 1958 (SVG; SR 741.01)</w:t>
      </w:r>
    </w:p>
    <w:p>
      <w:r>
        <w:rPr>
          <w:b/>
        </w:rPr>
        <w:t>E. 14</w:t>
      </w:r>
    </w:p>
    <w:p>
      <w:r>
        <w:t>Vgl. BGE 136 II 539 E. 1.1; BGer 1C_404/2019 vom 31. Oktober 2019 E. 2, je mit weiteren Hinweisen</w:t>
      </w:r>
    </w:p>
    <w:p>
      <w:r>
        <w:rPr>
          <w:b/>
        </w:rPr>
        <w:t>E. 15</w:t>
      </w:r>
    </w:p>
    <w:p>
      <w:r>
        <w:t>BVR 2021 S. 517 E. 2.5 mit weiteren Hinweisen</w:t>
      </w:r>
    </w:p>
    <w:p>
      <w:r>
        <w:t>BVD 140/2024/110 5/5 Abs. 2 VRPG in Verbindung mit. Art. 19 Abs.1 GebV16). Parteikosten sind keine zu sprechen (Art. 104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