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88 vom 2. Dezember 2019</w:t>
      </w:r>
    </w:p>
    <w:p>
      <w:r>
        <w:t>Be Bvd, 2019-12-02, DE</w:t>
      </w:r>
    </w:p>
    <w:p>
      <w:r>
        <w:rPr>
          <w:b/>
        </w:rPr>
        <w:t xml:space="preserve">Quelle: </w:t>
      </w:r>
      <w:r>
        <w:t>https://mcp.opencaselaw.ch/entscheid/be_bvd_110_2019_88</w:t>
      </w:r>
    </w:p>
    <w:p>
      <w:r>
        <w:t>FR: BE_BVD 110 2019 88 du 2 décembre 2019</w:t>
      </w:r>
    </w:p>
    <w:p>
      <w:r>
        <w:t>IT: BE_BVD 110 2019 88 del 2 dicembre 2019</w:t>
      </w:r>
    </w:p>
    <w:p>
      <w:pPr>
        <w:pStyle w:val="Heading2"/>
      </w:pPr>
      <w:r>
        <w:t>Regeste</w:t>
      </w:r>
    </w:p>
    <w:p>
      <w:r>
        <w:t>Versetzen von Geländer und Sichtschutz</w:t>
      </w:r>
    </w:p>
    <w:p>
      <w:pPr>
        <w:pStyle w:val="Heading2"/>
      </w:pPr>
      <w:r>
        <w:t>Erwägungen</w:t>
      </w:r>
    </w:p>
    <w:p>
      <w:r>
        <w:rPr>
          <w:b/>
        </w:rPr>
        <w:t>E. 1</w:t>
      </w:r>
    </w:p>
    <w:p>
      <w:r>
        <w:t>Eintretensvoraussetzungen Bauentscheide können nach Art. 40 BauG8 innert 30 Tagen seit Eröffnung mit Baubeschwerde bei der BVE angefochten werden. Die BVE ist somit für die Beurteilung der Beschwerde zuständig. Zur Beschwerde befugt sind die Baugesuchstellerinnen, die Baugesuchsteller, die Einsprecherinnen, die Einsprecher und die zuständige Gemeindebehörde (Art. 40 Abs. 2 BauG). Die Beschwerdeführerinnen, deren Baugesuch abgewiesen wurde, sind durch den vorinstanzlichen Entscheid beschwert und daher zur Beschwerdeführung legitimiert. Auf die form- und fristgerecht eingereichte Beschwerde ist einzutreten.</w:t>
      </w:r>
    </w:p>
    <w:p>
      <w:r>
        <w:rPr>
          <w:b/>
        </w:rPr>
        <w:t>E. 2</w:t>
      </w:r>
    </w:p>
    <w:p>
      <w:r>
        <w:t>Balkone, Erker, Dachaufbauten usw. müssen bei zusammengebauten oder an der Grenze stehenden Gebäuden von der angebauten Grenze einen Grenzabstand von wenigstens 1,50 m, in allen übrigen Fällen einen solchen von wenigstens 2,50 m aufweisen. Mit schriftlicher Zustimmung des Nachbars können diese Grenzabstände beliebig reduziert werden (siehe Anhang I Skizze 10). c) Da es sich bei der Bestimmung von Art. 76 GBR um eine kommunale Norm handelt, ist es vorab Sache der Gemeinde zu bestimmen, wie sie ihre eigene Vorschrift verstanden haben will. Ist ihre Auslegung der Norm rechtlich vertretbar, darf eine Rechtsmittelbehörde nicht einer andern, ebenfalls möglichen oder vertretbaren Auslegung den Vorzug geben.11 Art. 76 Abs. 2 GBR sieht für den vorliegenden Fall vor, dass der Abstand von der Terrasse zur Grenze mindestens 2.5 m betragen muss. Dieser Abstand wird vorliegend eingehalten. Abs. 1 von Art. 76 GBR bestimmt zudem, dass ein Balkon mit dem vierten Teil des Grenzabstandes, jedoch höchstens 1.5 m, in den Grenzabstand auskragen darf. Gemäss Gemeinde bedeutet dies, dass der Abstand des Balkons zur Grenze ¾ des gesetzlichen Grenzabstandes – vorliegend 3.75 m (¾ von 5 m) – betragen muss. Gemäss der Auslegung der Gemeinde muss dieser Grenzabstand zusätzlich zum Mindestabstand von</w:t>
      </w:r>
    </w:p>
    <w:p>
      <w:r>
        <w:rPr>
          <w:b/>
        </w:rPr>
        <w:t>E. 2.5</w:t>
      </w:r>
    </w:p>
    <w:p>
      <w:r>
        <w:t>m gemäss Art. 76 Abs. 2 GBR eingehalten werden. Diese Auslegung der Gemeinde wird gestützt durch die Skizze 10 des Anhang 1 des GBR. Sie ist haltbar, was das Bundesgericht im nachträglichen Baubewilligungsverfahren bezüglich dem mittlerweile entfernten Geländer mit Sichtschutz mit einem Grenzabstand von 1.75 m bereits festgehalten hat.12 Da der Abstand zwischen der geplanten Terrasse und der Grenze zur Nachbarparzelle nur 3.5 m beträgt, entspricht sie Art. 76 Abs. 1 GBR nicht. d) Laut Art. 26 BauG können Ausnahmen von einzelnen Bauvorschriften bewilligt werden, wenn besondere Verhältnisse es rechtfertigen und wenn keine öffentlichen 11 Aldo Zaugg/Peter Ludwig, Kommentar zum Baugesetz des Kantons Bern, 3. Aufl., Band II, Bern 2010, Art. 65 N. 3 12 Vgl. BGer 1C_209/2017 vom 18. Mai 2018, E. 2.3</w:t>
      </w:r>
    </w:p>
    <w:p>
      <w:r>
        <w:t>RA Nr. 110/2019/88 Seite 6 von 9 Interessen beeinträchtigt werden. Ausnahmen dürfen überdies keine wesentlichen nachbarlichen Interessen verletzen, es sei denn, die Beeinträchtigung könne durch Entschädigung vollwertig ausgeglichen werden. Diese Voraussetzungen müssen kumulativ erfüllt sein. Eine Ausnahmebewilligung soll die gesetzliche Regelung, die im Interesse der Rechtssicherheit sowie der Rechtsgleichheit die tatsächlichen Verhältnisse generalisierend erfasst, einzelfallgerecht verfeinern. Ausnahmegründe beziehen sich deshalb auf den Zweck, den Umfang oder die Gestaltung eines Bauvorhabens, wenn diese in den geltenden Vorschriften nicht genügend berücksichtigt sind. Sie müssen mit den Besonderheiten des Baugrundstücks oder des Bauvorhabens zusammenhängen. Unter Umständen können aber auch Besonderheiten, die sich aus den subjektiven Verhältnissen der bauwilligen Personen ergeben, eine Ausnahme begründen. Rein finanzielle Interessen, der Wunsch nach einer Ideallösung oder intensives Ausnützungsstreben rechtfertigen aber keine Ausnahmebewilligung. Es geht vielmehr darum, ausgesprochene Unbilligkeiten und Unzweckmässigkeiten zu vermeiden, die die strikte Anwendung der Vorschrift für die Bauwilligen zur Folge hätte. Im vorliegenden Fall werden keine Ausnahmegründe geltend gemacht und solche sind auch nicht ersichtlich. Für die geplante Terrasse kann daher auch keine Ausnahmebewilligung erteilt werden. e) Die Beschwerdeführerinnen berufen sich auf den künftig geltenden Art. 57 Abs. 2 GBR. Mit Volksabstimmung der Gemeinde Köniz vom 23. September 2018 hat diese einer Ortsplanungsrevision zugestimmt.13 Das neue GBR kann erst nach der Genehmigung des Amtes für Gemeinden und Raumordnung in Kraft gesetzt werden. Art. 57 Abs. 2 des künftigen GBR sieht vor, dass Balkone vorspringende Gebäudeteile im Sinne der BMBV14 sind, wenn sie mindestens auf einer Seite oder der Hälfte der Längsseite nicht geschlossen werden können und folgende Masse nicht überschreiten: a) zulässige Tiefe: ¼ des jeweils geltenden kleinen oder grossen Grenzabstandes oder beim Näherbau ¼ des Abstandes zur Grenze (vgl. Anhang I, Skizze 2.1). 13 Vgl. https://www.koeniz.ch/wirtschaft/entwicklung-gemeinde/ortsplanungsrevision-opr/die-unterlagen-zur- opr.page/1165 14 Verordnung vom 25. Mai 2011 über die Begriffe und Messweisen im Bauwesen (BMBV; BSG 721.3)</w:t>
      </w:r>
    </w:p>
    <w:p>
      <w:r>
        <w:t>RA Nr. 110/2019/88 Seite 7 von 9 b) zulässige Breite: Im Mittel ½ der Fassadenlänge pro Geschoss, welches auf dem entsprechenden Fassadenabschnitt vollständig über dem massgebenden Terrain liegt (vgl. Anhang I, Skizze 2.2). Das künftige Recht sieht damit beim Näherbau vor, dass die Tiefe von vorspringenden Balkonen ¼ des Abstandes zur Grenze betragen darf. Geplant ist vorliegend eine 1 m tiefe Terrasse zwischen dem 3.5 m von der Grenze entfernten "Wintergarten" und dem Geländer mit Abstand von 2.5 m ab der Grenze. Damit dürfte auch nach künftigem Recht die Tiefe der Terrasse höchstens ¼ des Abstandes zur Grenze und damit 0.875 m (¼ von 3.5 m gemäss Näherbaurecht) betragen. Ein Grund, eine entsprechende Ausnahme zu bewilligen, liegt nicht vor (vgl. Ziffer 2e hievor). Da die geplante Terrasse so oder anders auch nach künftigem Recht zu tief ist, kann offen bleiben, ob die neue Bestimmung auch für einen Näherbau gilt, welcher – wie der vorliegende "Wintergarten" – nicht rechtmässig erstellt worden ist. Zudem planen die Beschwerdeführerinnen zusätzlich im zweiten Obergeschoss – auf dem Dach des "Wintergartens" – eine Terrasse über die ganze Fassadenbreite (Baugesuch Nr. 18'902, Verfahren RA 110/2019/117). Da die zulässige Breite der vorspringenden Gebäudeteile nach dem künftigen Art. 57 Abs. 2 Bst. b GBR beschränkt ist, müsste hier eine Koordination erfolgen. Zudem scheint nach der künftigen, noch nicht genehmigten Regelung ein Balkon über die gesamte Breite grundsätzlich bewilligungsfähig. Hier stellt sich die Frage, ob diese Regelung vor Art. 10 BMBV standhält.15 f) Damit ist das vorliegende Projekt weder nach geltendem noch nach künftigem Recht bewilligungsfähig. Die Gemeinde hat daher zu Recht den Bauabschlag erteilt. Die Beschwerde ist abzuweisen.</w:t>
      </w:r>
    </w:p>
    <w:p>
      <w:r>
        <w:rPr>
          <w:b/>
        </w:rPr>
        <w:t>E. 3</w:t>
      </w:r>
    </w:p>
    <w:p>
      <w:r>
        <w:t>Verfahrenskosten a) Bei diesem Ausgang des Verfahrens unterliegen die Beschwerdeführerinnen. Sie haben die Verfahrenskosten zu tragen (Art. 108 Abs. 1 VRPG). Diese werden bestimmt auf 15 Vgl. insb. Waber, Aus der Fachbereichskonferenz Recht der Abteilung Orts- und Regionalplanung des AGR, in KPG Bulletin 4/2018 S. 111 ff.</w:t>
      </w:r>
    </w:p>
    <w:p>
      <w:r>
        <w:t>RA Nr. 110/2019/88 Seite 8 von 9 eine Pauschalgebühr von Fr. 800.– (Art. 103 Abs. 2 VRPG i.V.m. Art. 19 Abs. 1 GebV16). Die Beschwerdeführerinnen haften solidarisch für den gesamten Betrag b)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