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Verwaltung ARGVP 2008 1458 vom 22. Dezember 2008</w:t>
      </w:r>
    </w:p>
    <w:p>
      <w:r>
        <w:t>AR Gerichte, 2008-12-22, DE</w:t>
      </w:r>
    </w:p>
    <w:p>
      <w:r>
        <w:rPr>
          <w:b/>
        </w:rPr>
        <w:t xml:space="preserve">Quelle: </w:t>
      </w:r>
      <w:r>
        <w:t>https://mcp.opencaselaw.ch/entscheid/ar_gerichte_Verwaltung_ARGVP_2008_1458</w:t>
      </w:r>
    </w:p>
    <w:p>
      <w:r>
        <w:t>FR: AR_GERICHTE Verwaltung ARGVP 2008 1458 du 22 décembre 2008</w:t>
      </w:r>
    </w:p>
    <w:p>
      <w:r>
        <w:t>IT: AR_GERICHTE Verwaltung ARGVP 2008 1458 del 22 dicembre 2008</w:t>
      </w:r>
    </w:p>
    <w:p>
      <w:pPr>
        <w:pStyle w:val="Heading2"/>
      </w:pPr>
      <w:r>
        <w:t>Regeste</w:t>
      </w:r>
    </w:p>
    <w:p>
      <w:r>
        <w:t>A. Verwaltungsentscheide 1458 dig, womit der Entscheid als teilnichtig zu qualifizieren ist, was zur Folge hat, dass die Auflage in Ziffer 3.5 mangels rechtlicher Verbind-lichkeit keinerlei Rechtswirkung entfaltet. Departement Bau und Um</w:t>
      </w:r>
    </w:p>
    <w:p>
      <w:pPr>
        <w:pStyle w:val="Heading2"/>
      </w:pPr>
      <w:r>
        <w:t>Erwägungen</w:t>
      </w:r>
    </w:p>
    <w:p>
      <w:r>
        <w:rPr>
          <w:b/>
        </w:rPr>
        <w:t>E. 3</w:t>
      </w:r>
    </w:p>
    <w:p>
      <w:r>
        <w:t>dig, womit der Entscheid als teilnichtig zu qualifizieren ist, was zur Folge hat, dass die Auflage in Ziffer 3.5 mangels rechtlicher Verbind- lichkeit keinerlei Rechtswirkung entfaltet. Departement Bau und Umwelt, 28.02.2008 1458 Baubewilligungsverfahren. Quartierplan: Nichtigkeit und akzesso- rische Überprüfung eines Quartierplans. Voraussetzungen im vorlie- genden Fall nicht erfüllt.</w:t>
      </w:r>
    </w:p>
    <w:p>
      <w:r>
        <w:t>Aus den Erwägungen:</w:t>
      </w:r>
    </w:p>
    <w:p>
      <w:r>
        <w:rPr>
          <w:b/>
        </w:rPr>
        <w:t>E. 4</w:t>
      </w:r>
    </w:p>
    <w:p>
      <w:r>
        <w:t>A. Verwaltungsentscheide 1459</w:t>
      </w:r>
    </w:p>
    <w:p>
      <w:r>
        <w:rPr>
          <w:b/>
        </w:rPr>
        <w:t>E. 5</w:t>
      </w:r>
    </w:p>
    <w:p>
      <w:r>
        <w:t>b) Die Gestaltung der Siedlungen, Bauten und Anlagen ist eines der Anliegen, auf welches die Behörden bei der Erfüllung ihres Raumplanungsauftrages Rücksicht zu nehmen haben. Insbesondere haben die mit Planungsaufgaben Betrauten darauf zu achten, dass sich Bauten und Anlagen in die Landschaft einordnen, was dann der Fall ist, wenn sich einerseits die einzelnen Bauwerke in sie einordnen, andererseits Einzelbauten untereinander ein ausgewogenes Sied- lungsbild ergeben (Art. 3 Abs. 2 lit. b RPG; EJPD/BRP, Erläuterungen zum RPG, N 31 zu Art. 3). In diesem Sinne bestimmt Art. 112 Abs. 1 BauG, dass sich Bauten und Anlagen so in ihre bauliche und landschaftliche Umgebung einzufügen haben, dass eine gute Ge- samtwirkung entsteht (Einordnungsgebot); sie dürfen das Orts-, Quartier- und Landschaftsbild nicht wesentlich beeinträchtigen (Beeinträchtigungsverbot).</w:t>
      </w:r>
    </w:p>
    <w:p>
      <w:r>
        <w:t>Daneben sind auch die Gemeinden befugt, eigene Gestaltungs- vorschriften zu erlassen. Dies ergibt sich insbesondere aus Art. 15 Abs. 2 lit. e und h BauG, wonach die Gemeinden in ihren Bau- reglementen Bestimmungen über "Anforderungen an die architekto- nische Gestaltung" und kommunale Schutzvorschriften erlassen dürfen. Das kantonale Recht lässt mithin den Gemeinden im Bereich der Gestaltung einen geschützten Autonomiebereich. Dies ermöglicht den Gemeinden unter anderem, auf ihre eigenen örtlichen Ver- hältnisse Rücksicht zu nehmen und lokale öffentliche Interessen im Bereich des Bauwesens zu wahren. Inhaltlich müssen diese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