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1989 2064 vom 21. April 1989</w:t>
      </w:r>
    </w:p>
    <w:p>
      <w:r>
        <w:t>AR Gerichte, 1989-04-21, DE</w:t>
      </w:r>
    </w:p>
    <w:p>
      <w:r>
        <w:rPr>
          <w:b/>
        </w:rPr>
        <w:t xml:space="preserve">Quelle: </w:t>
      </w:r>
      <w:r>
        <w:t>https://mcp.opencaselaw.ch/entscheid/ar_gerichte_Verwaltung_ARGVP_1989_2064</w:t>
      </w:r>
    </w:p>
    <w:p>
      <w:r>
        <w:t>FR: AR_GERICHTE Verwaltung ARGVP 1989 2064 du 21 avril 1989</w:t>
      </w:r>
    </w:p>
    <w:p>
      <w:r>
        <w:t>IT: AR_GERICHTE Verwaltung ARGVP 1989 2064 del 21 aprile 1989</w:t>
      </w:r>
    </w:p>
    <w:p>
      <w:pPr>
        <w:pStyle w:val="Heading2"/>
      </w:pPr>
      <w:r>
        <w:t>Regeste</w:t>
      </w:r>
    </w:p>
    <w:p>
      <w:r>
        <w:t>B. Entscheide der Steuerrekurskommission 2063, 2064 2063 Zustellung einer Verfügung mittels eingeschriebenen Briefes. Beginn des Fristenlaufes. Nach der vom Bundesgericht zuletzt in BGE 100 III 3 bestätigten Praxis gelten in ein Postfach</w:t>
      </w:r>
    </w:p>
    <w:p>
      <w:pPr>
        <w:pStyle w:val="Heading2"/>
      </w:pPr>
      <w:r>
        <w:t>Volltext</w:t>
      </w:r>
    </w:p>
    <w:p>
      <w:r>
        <w:t>B. Entscheide der Steuerrekurskommission 2063, 2064 2063 Zustellung einer Verfügung mittels eingeschriebenen Briefes. Beginn des Fristenlaufes. Nach der vom Bundesgericht zuletzt in BGE 100 III 3 bestätigten Praxis gelten in ein Postfach oder einen Briefkasten gelegte eingeschriebene Sendungen dann als zugestellt, wenn sie bei der Post abgeholt werden. Werden sie innert der angesetzten Frist nicht abgeholt, so gilt der letzte Tag dieser von der Post angesetzten Frist als Zustellungsdatum. Diese bundesrechtlich gefestigte Praxis gilt auch im Verwaltungsrecht von Ap­ penzell A.Rh. (vgl. Hans-Jürg Schär, Erläuterungen zum Gesetz über das Verwaltungsverfahren, N. 7 zu Art. 3). Die Bussenverfügung der kantonalen Steuerverwaltung wurde am 9.11.1987 der Post übergeben. Die eingeschriebene Sendung konnte dem Rekurrenten nicht ausgehändigt werden, so dass ihm eine Abholaufforde­ rung mit Frist bis 17.11.1987 in den Briefkasten gelegt wurde. Weil er die Sendung bis 17.11.1987 nicht abholte, gilt dieser Tag als Zustellungsdatum. Die Frist für eine Einsprache gegen diese Bussenverfügung begann daher am 18.11.1987 und lief 30 Tage später, also am 17.12.1987, ab. Das Gesuch des Rekurrenten um Erlass der Busse, welches sinngemäss eine Einsprache war, die bis zum 17. Dezember hätte eingereicht werden müssen, wurde aber erst am 18. Dezember der Post übergeben. Es war also verspätet, und die kantonale Steuerverwaltung durfte auf die Einsprache nicht mehr ein- treten. Die Bussenverfügung ist daher in Rechtskraft erwachsen. StRK 27.5.1988 (Nr. 441) 2064 Rekursverfahren. Folgen der Unzustellbarkeit behördlicher Mitteilungen und der Nichtergänzung des Rekurses innert angesetzter Frist. Wer sich während eines hängigen Verfahrens von seinem Adressort ent­ fernt, hat geeignete Vorkehren für die Zustellbarkeit behördlicher Mittei­ lungen zu treffen, sofern er während seiner Abwesenheit mit einer gewis­ sen Wahrscheinlichkeit auf die Zustellung eines behördlichen Akts gefasst 48</w:t>
      </w:r>
    </w:p>
    <w:p>
      <w:r>
        <w:t>B. Entscheide der Steuerrekurskommission 2064, 2065 sein muss (BGE 107 V 198/102 V 242/101 1a 7). Dies bedeutet, dass er einen bevollmächtigten Vertreter bestellen odereinen Nachsendungsauf­ trag erteilen muss. Obwohl [] in seinem Rekursschreiben vom 24. Januar 1989 ausdrücklich erwähnte, dass er den Wohnsitz in [] aufgegeben habe und als Absender die Adresse [] angab, war der Brief des Aktuariats der Steuerrekurskommission vom 2. Februar 1989 unzustellbar. Der Rekurrent hat es somit selbst zu verantworten, dass er die darin gesetzte Notfrist bis zum 13. Februar 1989 nicht eingehalten hat. Diese Notfristansetzung war gemäss Art. 92 Abs. 2 StG zwingend, weil das Rekursschreiben weder einen Antrag noch eine einigermassen verständliche Begründung enthält. Nachdem der Rekurs nicht innert Notfrist ergänzt worden ist, ist darauf nicht einzutreten. StRK 21.4.1989 (Nr.464) 2065 Erbschaftssteuern. Art. 136 Abs.1 Ziff. 5 StG befreit den Hausrat von der Erbschafts- und Vermächtnissteuer. Abgrenzung des Hausrates vom steuerpflichtigen übrigen Nachlassvermögen. 1. Streitig ist vorliegendenfalls, ob die fraglichen Gegenstände der Hinter­ lassenschaft zum Hausrat im Sinne des Steuergesetzes zu zählen sind oder nicht. 2. Gemäss Duden, Ausgabe 1983, sind unter Hausrat «alle zu einem Haushalt gehörenden Sachen (z.B. Möbel, Küchengeräte)» zu verstehen. Der Begriff findet sich im ausserrhodischen Steuergesetz auch unter den Bestimmungen betreffend die Vermögenssteuer. Gemäss Art. 44 Abs.1 Ziff. 2 StG sind von der Vermögenssteuer befreit «Fr. 80000.- vom Ver­ kehrswert des dem Steuerpflichtigen und seiner Familie zum eigenen Gebrauch dienenden Hausrates». Es bestehen keine Anhaltspunkte dafür, dass die seit Inkrafttreten des auf den 1. Januar 1987 teilrevidierten Steuergesetzes identischen Begriffe im Vermögenssteuer- und Erbschaftssteuerrecht einen verschiedenen Sinngehalt haben sollten. Mit der Änderung der ursprünglichen Fassung «Haus- und Feldgeräte» in «Hausrat und landwirtschaftliche Kleingeräte» hat auch materiell eine Änderung stattgefunden, und zwar in dem Sinne, dass der Hausratbegriff jenem im Vermögenssteuerrecht gleichgesetzt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