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1095 vom 15. August 1972</w:t>
      </w:r>
    </w:p>
    <w:p>
      <w:r>
        <w:t>AR Gerichte, 1972-08-15, DE</w:t>
      </w:r>
    </w:p>
    <w:p>
      <w:r>
        <w:rPr>
          <w:b/>
        </w:rPr>
        <w:t xml:space="preserve">Quelle: </w:t>
      </w:r>
      <w:r>
        <w:t>https://mcp.opencaselaw.ch/entscheid/ar_gerichte_Verwaltung_ARGVP_1988_1095</w:t>
      </w:r>
    </w:p>
    <w:p>
      <w:r>
        <w:t>FR: AR_GERICHTE Verwaltung ARGVP 1988 1095 du 15 août 1972</w:t>
      </w:r>
    </w:p>
    <w:p>
      <w:r>
        <w:t>IT: AR_GERICHTE Verwaltung ARGVP 1988 1095 del 15 agosto 1972</w:t>
      </w:r>
    </w:p>
    <w:p>
      <w:pPr>
        <w:pStyle w:val="Heading2"/>
      </w:pPr>
      <w:r>
        <w:t>Regeste</w:t>
      </w:r>
    </w:p>
    <w:p>
      <w:r>
        <w:t>A. Entscheide des Regierungsrates 1094,1095 liehen Grundlage entbehren» (St.Gallische Gerichts- und Verwaltungs­praxis 1961 S. 214). Diese Prüfungspflicht besteht in allen Fällen, ob nun die Anmeldung von einem Privaten, von einer Gerichts</w:t>
      </w:r>
    </w:p>
    <w:p>
      <w:pPr>
        <w:pStyle w:val="Heading2"/>
      </w:pPr>
      <w:r>
        <w:t>Erwägungen</w:t>
      </w:r>
    </w:p>
    <w:p>
      <w:r>
        <w:rPr>
          <w:b/>
        </w:rPr>
        <w:t>E. 1</w:t>
      </w:r>
    </w:p>
    <w:p>
      <w:r>
        <w:t>bGS 211.1</w:t>
      </w:r>
    </w:p>
    <w:p>
      <w:r>
        <w:rPr>
          <w:b/>
        </w:rPr>
        <w:t>E. 2</w:t>
      </w:r>
    </w:p>
    <w:p>
      <w:r>
        <w:t>bGS 213.21 136</w:t>
      </w:r>
    </w:p>
    <w:p>
      <w:r>
        <w:t>A. Entscheide des Regierungsrates 1095, 1096 übereinstimmt, sieht mithin zunächst die Befriedigung des Gläubigers im ersten Range vor; eine Auszahlung der nachfolgenden Gläubiger ist - vor­ behältlich der Zustimmung der vorangehenden - unzulässig. Das Begeh­ ren der Beschwerdeführerin erweist sich somit als berechtigt. RRB 15.8.1972 1096 Grundbuch. Die Gemeinden dürfen die Handänderungen nicht unter Angabe des Kaufpreises und der Beträge der Handänderungssteuern ver­ öffentlichen (Art. 970 ZGB). In der Gemeinde U. wurde eine Volksinitiative eingereicht, nach welcher sämtliche Handänderungen jährlich in der Gemeinderechnung mit fol­ genden Angaben veröffentlicht werden sollten: Kaufobjekt, Parteien, Kaufpreis, Handänderungssteuern. Der Gemeinderat erklärte die Initiative als unzulässig. Der Regierungsrat wies den gegen diesen Beschluss gerich­ teten Rekurs der Initianten mit folgender Begründung ab: Art. 970 ZGB enthält den Grundsatz der formellen Öffentlichkeit des Grundbuches. Dabei handelt es sich indessen nicht um eine vorbehaltlose Öffentlichkeit; die Einsicht in das Grundbuch steht vielmehr nur unter gewissen Voraussetzungen offen, die in Art. 970 Abs. 2 ZGB wie folgt um­ schrieben werden: «Wer ein Interesse glaubhaft macht, kann verlangen, dass ihm näher zu bezeichnende Blätter samt den zugehörigen Belegen in Gegenwart eines Grundbuchbeamten vorgewiesen, oder dass ihm Aus­ züge aus solchen ausgefertigt werden.» Diese Vorschrift schränkt somit die Einsicht zunächst in dem Sinne ein, als nur die Einsicht in einzelne, näher zu bezeichnende Blätter gestattet ist. Gestützt auf diese Vorschrift hat beispielsweise das Eidgenössische Grundbuchamt das Begehren einer Annoncen-Agentur, jeden Monat die Änderungen der Grundeigentümer festzustellen, abgelehnt (Verwaltungsentscheide der Bundesbehörden, Heft VII, S. 81). Die Einsicht in das Grundbuch setzt weiterhin voraus, dass der Gesuch­ steller ein berechtigtes Interesse glaubhaft macht. Dieses Interesse liegt nicht vor - und die Einsicht ist demgemäss zu verweigern -, wenn blosse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