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O5V-14-23 vom 11. März 2015</w:t>
      </w:r>
    </w:p>
    <w:p>
      <w:r>
        <w:t>AR Gerichte, 2015-03-11, DE</w:t>
      </w:r>
    </w:p>
    <w:p>
      <w:r>
        <w:rPr>
          <w:b/>
        </w:rPr>
        <w:t xml:space="preserve">Quelle: </w:t>
      </w:r>
      <w:r>
        <w:t>https://mcp.opencaselaw.ch/entscheid/ar_gerichte_OG_O5V-14-23</w:t>
      </w:r>
    </w:p>
    <w:p>
      <w:r>
        <w:t>FR: AR_GERICHTE OG O5V-14-23 du 11 mars 2015</w:t>
      </w:r>
    </w:p>
    <w:p>
      <w:r>
        <w:t>IT: AR_GERICHTE OG O5V-14-23 del 11 marzo 2015</w:t>
      </w:r>
    </w:p>
    <w:p>
      <w:pPr>
        <w:pStyle w:val="Heading2"/>
      </w:pPr>
      <w:r>
        <w:t>Regeste</w:t>
      </w:r>
    </w:p>
    <w:p>
      <w:r>
        <w:t>Obergericht Appenzell Ausserrhoden 5. Abteilung Urteil vom 11. März 2015 Mitwirkende Obergerichtspräsident E. Zingg Oberrichter R. Krapf, S. Plachel, Dr. M. Winiger, E. Graf Obergerichtsschreiber J. Kürsteiner Verfahren Nr. O5V 14 23 S</w:t>
      </w:r>
    </w:p>
    <w:p>
      <w:pPr>
        <w:pStyle w:val="Heading2"/>
      </w:pPr>
      <w:r>
        <w:t>Erwägungen</w:t>
      </w:r>
    </w:p>
    <w:p>
      <w:r>
        <w:rPr>
          <w:b/>
        </w:rPr>
        <w:t>E. 1</w:t>
      </w:r>
    </w:p>
    <w:p>
      <w:r>
        <w:t>Über Beschwerden gegen Verfügungen und Einspracheentscheide kantonaler Ausgleichskassen entscheidet in Abweichung von Art. 58 Abs. 1 des Bundesgesetzes über den Allgemeinen Teil des Sozialversicherungsrechts vom 6. Oktober 2000 (ATSG; SR 830.1) das Versicherungsgericht am Ort der Ausgleichskasse (Art. 84 des Bundesge- setzes vom 20. Dezember 1946 über die Alters- und Hinterlassenversicherung [AHVG; SR 831.10]). 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Nach Art. 3 Abs. 1 AHVG sind die Versicherten beitragspflichtig, solange sie eine Erwerbs- tätigkeit ausüben. Die Beiträge vom Einkommen aus unselbständiger Erwerbstätigkeit sind bei jeder Lohnzahlung in Abzug zu bringen und vom Arbeitgeber zusammen mit dem Ar- beitgeberbeitrag periodisch zu entrichten (Art. 14 Abs. 1 AHVG). Die Arbeitgeber haben von jedem Lohn im Sinne von Art. 5 Abs. 2 AHVG den Beitrag des Arbeitnehmers abzu- ziehen (Art. 51 Abs. 1 AHVG) und mit der Ausgleichskasse über die abgezogenen und die selbst geschuldeten Beiträge periodisch abzurechnen (Art. 51 Abs. 2 AHVG). Den Aus- gleichskassen obliegen nach Art. 63 Abs. 1 AHVG u.a. die Festsetzung, die Herabsetzung und der Erlass der Beiträge (lit. a) sowie deren Bezug (lit. c). Die der Ausgleichskasse an- geschlossenen Arbeitgeber sind periodisch auf die Einhaltung der gesetzlichen Bestim- mungen hin zu kontrollieren (Art. 68 Abs. 2 AHVG).</w:t>
      </w:r>
    </w:p>
    <w:p>
      <w:r>
        <w:rPr>
          <w:b/>
        </w:rPr>
        <w:t>E. 3.1</w:t>
      </w:r>
    </w:p>
    <w:p>
      <w:r>
        <w:t>Zum Einkommen aus unselbständiger Erwerbstätigkeit gehört das im In- und Ausland er- zielte Bar- oder Naturaleinkommen aus einer Tätigkeit einschliesslich der Nebenbezüge (Art. 6 Abs. 1 der Verordnung vom 31. Oktober 1947 über die Alters- und Hinterlassenen- versicherung [AHVV; SR 831.101]). Erhält eine Ausgleichskasse Kenntnis davon, dass ein Beitragspflichtiger keine Beiträge oder zu niedrige Beiträge bezahlt hat, so hat sie die Nachzahlung der geschuldeten Beiträge zu verlangen und nötigenfalls durch Verfügung festzusetzen, wobei die nachgeforderten Beiträge innert 30 Tagen ab Rechnungstellung zu bezahlen sind (Art. 39 AHVV). Verzugszinsen haben nach Art. 41bis AHVV u.a. zu entrich- ten: a. Beitragspflichtige im Allgemeinen auf Beiträgen, die sie nicht innert 30 Tagen nach Ablauf der Zahlungsperiode bezahlen, ab Ablauf der Zahlungsperiode; b. Beitragspflichtige auf für vergangene Kalenderjahre nachgeforderten Beiträgen, ab dem 1. Januar nach Ab- lauf des Kalenderjahres, für welches die Beiträge geschuldet sind.</w:t>
      </w:r>
    </w:p>
    <w:p>
      <w:r>
        <w:t>Seite 6</w:t>
      </w:r>
    </w:p>
    <w:p>
      <w:r>
        <w:rPr>
          <w:b/>
        </w:rPr>
        <w:t>E. 3.2</w:t>
      </w:r>
    </w:p>
    <w:p>
      <w:r>
        <w:t>Richtet eine Aktiengesellschaft Leistungen an Arbeitnehmer aus, die gleichzeitig Inhaber gesellschaftlicher Beteiligungsrechte sind oder Inhabern solcher Rechte nahestehen, stellt sich bei der Festsetzung sowohl der Steuern als auch der Sozialversicherungsbeiträge die Frage, ob und inwieweit es sich um Arbeitsentgelt, also massgebenden Lohn, oder aber um Gewinnausschüttung, also Kapitalertrag, handelt (Urteil des Bundesgerichts 9C_107/2008 vom 5. Juni 2008 bzw. BGE 134 V 297 Erw. 2.1). Bei der Beurteilung von Leistungen, wel- che eine Aktiengesellschaft an Personen ausrichtet, die zugleich Arbeitnehmer und Aktio- näre sind, muss einerseits eine angemessene Entschädigung für die geleistete Arbeit, an- derseits ein angemessener Vermögensertrag zugrunde gelegt werden. Dabei ist zu be- 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den Löhnen stellt die Dividende bei der Gesellschaft keinen geschäftsmäs- sig begründeten Aufwand dar, sondern unterliegt der Gewinnsteuer (Art. 58 Abs. 1 lit. b des Bundesgesetzes über die direkte Bundessteuer vom 14. Dezember 1990 [DBG; SR 621.11]; Art. 24 Abs. 1 des Bundesgesetzes vom 14. Dezember 1990 über die Har- monisierung der direkten Steuern der Kantone und Gemeinden [StHG; SR 642.14]) und zugleich beim Empfänger der Einkommenssteuer, insgesamt somit einer wirtschaftlichen Doppelbelastung, welche durch die Unternehmenssteuerreform II gemäss Bundesgesetz vom 23. März 2007 über die Verbesserung der steuerlichen Rahmenbedingungen für un- ternehmerische Tätigkeiten und Investitionen, angenommen in der Volksabstimmung vom 24. Februar 2008, zwar gemildert, aber nicht beseitigt wurde (BGE 134 V 297 Erw. 2.2). Die Steuerbehörden haben zu prüfen, ob eine als Lohn deklarierte Leistung in Wirklichkeit eine Gewinnausschüttung darstellt, und diese gegebenenfalls als solche aufzurechnen (Urteil des Bundesgerichts 2A.742/2006 vom 15. Mai 2006 Erw. 5.3). Dabei hat die Gesellschaft einen erheblichen Ermessensspielraum, da es den Steuerbehörden nicht zusteht, die An- gemessenheit des Lohnes bzw. der Dividende frei zu überprüfen. Von der durch die Ge- sellschaft gewählten Aufteilung ist abzuweichen, wenn ein offensichtliches Missverhältnis zwischen Arbeitsleistung und Lohn bzw. zwischen eingesetztem Vermögen und Dividende besteht (Brülisauer/Poltera, in: Zweifel/Athanas [Hrsg.], Kommentar DBG, 2. Auflage, Basel 2008, N. 99 zu Art. 58 DBG; Richner/Frei/Kaufmann, Handkommentar zum DBG, N. 102 zu Art. 58 DBG). Dabei ist auf einen Drittvergleich abzustellen, d.h. es ist zu prüfen, ob die gleiche Leistung unter Berücksichtigung aller objektiven und subjektiven Faktoren auch einem aussenstehenden Dritten erbracht worden wäre (BGE 131 II 593 Erw. 5.2).</w:t>
      </w:r>
    </w:p>
    <w:p>
      <w:r>
        <w:t>Seite 7</w:t>
      </w:r>
    </w:p>
    <w:p>
      <w:r>
        <w:rPr>
          <w:b/>
        </w:rPr>
        <w:t>E. 3.3</w:t>
      </w:r>
    </w:p>
    <w:p>
      <w:r>
        <w:t>Während also die Steuerbehörden allenfalls eine als Lohn deklarierte Leistung als ver- 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Praxis- gemäss ist es Sache der Ausgleichskassen, selbstständig zu beurteilen, ob ein Einkom- mensbestandteil als massgebender Lohn oder als Kapitalertrag qualifiziert werden muss. Dabei halten sich die Ausgleichskassen in der Regel aber an die bundessteuerrechtliche Betrachtungsweise, da mit Blick auf Einheit und Widerspruchslosigkeit der Rechtsordnung eine verschiedene Betrachtungsweise der Steuerbehörde und der AHV-Verwaltung ver- mieden werden soll. Wie in der steuerrechtlichen Betrachtung ist aber auch AHV-rechtlich von der durch die Gesellschaft vorgenommenen Aufteilung auszugehen und davon nur ab- zuweichen, wenn ein offensichtliches Missverhältnis zwischen Arbeitsleistung und Entgelt bzw. zwischen eingesetztem Vermögen und Dividende besteht (BGE 134 V 297 Erw. 2.3).</w:t>
      </w:r>
    </w:p>
    <w:p>
      <w:r>
        <w:rPr>
          <w:b/>
        </w:rPr>
        <w:t>E. 3.4</w:t>
      </w:r>
    </w:p>
    <w:p>
      <w:r>
        <w:t>Schon früher hatte das Bundesgericht festgehalten, dass sich die Bindungswirkung nur auf die Bemessung des massgebenden Einkommens sowie des im Betrieb investierten Eigen- kapitals beziehe, nicht aber auf die beitragsrechtliche Qualifikation des Einkommens, und dass sich die Ausgleichskassen bei der Qualifikation gemeldeter Einkünfte in der Regel auf die Steuermeldungen verlassen und eigene nähere Abklärungen nur dann vornehmen sollten, wenn sich ernsthafte Zweifel an der Richtigkeit der Steuermeldung ergäben (BGE 121 V 80 Erw. 2c). Die steuerrechtliche Qualifikation von Einkommen binde jedoch die Organe der AHV und den Sozialversicherungsrichter nicht, sondern stellte lediglich ein - wenn auch gewichtiges - Indiz im Rahmen der Würdigung der gesamten wirtschaftlichen Gegebenheiten dar (BGE 122 V 281 Erw. 5d; s. auch BGE 125 V 383 Erw. 6b).</w:t>
      </w:r>
    </w:p>
    <w:p>
      <w:r>
        <w:rPr>
          <w:b/>
        </w:rPr>
        <w:t>E. 3.5</w:t>
      </w:r>
    </w:p>
    <w:p>
      <w:r>
        <w:t>Schliesslich hat das Bundesgericht festgehalten, jede rechtskräftige Steuerveranlagung begründe die nur mit Tatsachen widerlegbare Vermutung, dass sie der Wirklichkeit ent- spreche. Da die Ausgleichskassen an die Angaben der Steuerbehörden gebunden seien und das Sozialversicherungsgericht grundsätzlich nur die Kassenverfügung auf ihre Ge- setzmässigkeit zu überprüfen habe, dürfe das Gericht von rechtskräftigen Steuertaxationen bloss dann abweichen, wenn diese klar ausgewiesene Irrtümer enthielten, die ohne weiteres richtig gestellt werden könnten, oder wenn sachliche Umstände zu würdigen seien, die steuerrechtlich belanglos, sozialversicherungsrechtlich aber bedeutsam seien. Blosse Zweifel an der Richtigkeit einer Steuertaxation genügten hierzu nicht; denn die or- Seite 8 dentliche Einkommensermittlung obliege den Steuerbehörden, in deren Aufgabenkreis das Sozialversicherungsgericht nicht mit eigenen Veranlagungsmassnahmen einzugreifen habe. Die selbstständigerwerbenden Versicherten hätten demnach ihre Rechte, auch im Hinblick auf die AHV-rechtliche Beitragspflicht, in erster Linie im Steuerjustizverfahren zu wahren. Dieser Grundsatz erfahre jedoch u.a. dann eine Einschränkung, wenn die in der Veranlagung festgesetzte Steuer nur einen niedrigen Betrag ausmache und deshalb man- gels relevanten Streitwertes kein Anlass für die Erhebung eines Rechtsmittels bestanden habe. In dieser Konstellation sei eine selbständige Prüfung der den angefochtenen Bei- tragsverfügungen zugrundeliegenden Steuerfaktoren möglich (Urteil des Bundesgerichts H 38/05 vom 10. Juni 2005 Erw. 2.3 und 2.4; vgl. zur Frage der Bindungswirkung auch Rz. 1232 ff. der Wegleitung des Bundesamtes für Sozialversicherung über die Beiträge der Selbständigerwerbenden und Nichterwerbstätigen in der AHV, IV und EO [WSN] zu Art. 23 AHVV).</w:t>
      </w:r>
    </w:p>
    <w:p>
      <w:r>
        <w:rPr>
          <w:b/>
        </w:rPr>
        <w:t>E. 4.1</w:t>
      </w:r>
    </w:p>
    <w:p>
      <w:r>
        <w:t>Die zur Qualifikation von Dividendenzahlungen an Verwaltungsräte entwickelte Nidwaldner Praxis - nach dieser wird die Dividende bis zur Höhe eines aufgrund von Standardwerten ermittelten durchschnittlichen Gehalts als massgebender Lohn betrachtet, soweit sie eine 15%ige Verzinsung des Aktienkapitals übersteigt - wurde insofern als gesetzwidrig beurteilt, als sie die steuerrechtliche Betrachtung nicht berücksichtige und als die Angemessenheit der Dividende im Verhältnis zum Aktienkapital (statt zum Eigenkapital) bemessen werde. Auch beim Aktionär sei die Angemessenheit des (beitragsfreien) Vermögensertrags nicht in Relation zum Nennwert, sondern zum effektiven wirtschaftlichen Wert der Aktien zu beur- teilen, da Aktien- und Eigenkapital wesentlich voneinander abweichen könnten (BGE 134 V 297 Erw. 2.4 und 2.8).</w:t>
      </w:r>
    </w:p>
    <w:p>
      <w:r>
        <w:rPr>
          <w:b/>
        </w:rPr>
        <w:t>E. 4.2</w:t>
      </w:r>
    </w:p>
    <w:p>
      <w:r>
        <w:t>Dieses Urteil wurde u.a. zitiert in BGE 136 V 258 sowie in den Urteilen des Bundesgerichts 9C_688/2011 vom 15. November 2012 Erw. 3.2 und 4 sowie 9C_354/2013 vom 18. Juni 2013 Erw. 1, ferner im Urteil 9C_669/2011 vom 25. Oktober 2012 Erw. 2.6, wo- nach die Rechtsprechung gemäss BGE 134 V 297 nach dem Inkrafttreten der Unter- nehmenssteuerreform II weiterhin anwendbar sei, da die im Bundesrecht getroffene Re- gelung der privilegierten Dividendenbesteuerung vom Gehalt her mit der in den Kantonen Obwalden und Nidwalden bereits früher eingeführten Regelung übereinstimme.</w:t>
      </w:r>
    </w:p>
    <w:p>
      <w:r>
        <w:t>Es fand ferner Eingang in die vom Bundesamt für Sozialversicherungen herausgegebene Wegleitung über den massgebenden Lohn (WML), wobei es von der Verwaltung schon gemäss Mitteilung Nr. 219 vom 31. März 2008 an die AHV-Ausgleichskassen und EL- Seite 9 Durchführungsstellen ab sofort und sinngemäss in Geltung gesetzt worden war. Im Vorwort zu dem ab 1. Januar 2009 gültigen Nachtrag der WML hiess es in der Folge, mit diesem werde bestimmt, unter welchen Voraussetzungen Dividenden wegen der im Rahmen der Unternehmenssteuerreform II eingeführten Teilbesteuerung teilweise als massgebender Lohn aufzurechnen seien. Grundsätzlich sei von der durch die Gesellschaft vorgenom- menen und von den Steuerbehörden akzeptierten Aufteilung zwischen Dividenden und Lohn auszugehen und davon nur abzuweichen, wenn ein offensichtliches Missverhältnis zwischen Arbeitsleistung und Entgelt bzw. eingesetztem Vermögen und Dividende bestehe (Rz. 2011.2 WML). Bei der Beurteilung, ob ein offensichtliches Missverhältnis vorliege, müsse einerseits eine angemessene Entschädigung für die geleistete Arbeit, andererseits ein angemessener Ertrag für das investierte Kapital zugrunde gelegt werden (Rz. 2011.3 WML). Die Dividendenzahlung sei nur dann teilweise als massgebender Lohn zu betrach- ten, wenn kein oder ein unangemessen tiefer Lohn und gleichzeitig eine offensichtlich überhöhte Dividende ausgerichtet werde. Eine Aufrechnung sei diesfalls höchstens bis zur Höhe eines branchenüblichen Gehalts vorzunehmen (Rz. 2011.4 WML). Bei der Beurtei- lung, ob eine angemessene branchenübliche Entschädigung für die geleistete Arbeit aus- gerichtet worden sei, seien nebst dem zeitlichen Umfang des Arbeitspensums auch das Tragen von Verantwortung, das Einbringen von Know-How, besondere Erfahrungen und Branchenkenntnisse und die Art der Tätigkeit zu berücksichtigen. Falls möglich, sei zudem ein Vergleich mit den an nichtmitarbeitende Inhaberinnen bzw. Inhaber von Beteiligungs- rechten ausgeschütteten Gewinnanteilen oder mit den Löhnen von Arbeitnehmenden ohne gesellschaftliche Beteiligung anzustellen (Rz. 2011.5 WML). Die Angemessenheit der Divi- dende bemisse sich in Relation zum effektiven wirtschaftlichen Wert der Beteiligungsrechte bzw. dem Steuerwert der Wertpapiere, der von den Steuerbehörden ermittelt werde (Rz. 2011.6 WML). Dividenden, die einem Vermögensertrag von 10% oder mehr ent- sprächen, seien vermutungsweise überhöht (Rz. 2011.7 WML). Nur am Rande sei in diesem Zusammenhang noch erwähnt, dass Wegleitungen rechtsprechungsgemäss nicht schematisch, sondern nur unter Würdigung des konkreten Einzelfalls anzuwenden sind (BGE 134 V 297 Erw. 2.7; Urteil des Bundesgerichts 9C_487/2011 vom 29. August 2011 Erw. 3.2).</w:t>
      </w:r>
    </w:p>
    <w:p>
      <w:r>
        <w:rPr>
          <w:b/>
        </w:rPr>
        <w:t>E. 5.1</w:t>
      </w:r>
    </w:p>
    <w:p>
      <w:r>
        <w:t>Die von der Ausgleichskasse Appenzell Ausserrhoden erwähnte Praxis des Kantons St. Gallen basiert auf dem Entscheid des Versicherungsgerichts dieses Kantons mit der Nummer AHV 2014/1 vom 1. Oktober 2014, wobei es sich bei der Beschwerdeführerin um eine Immobilienvermittlerin handelte. Ein wesentlicher Unterscheid zum vorliegenden Fall besteht darin, dass die Steuerverwaltung des Kantons St. Gallen den Unternehmenswert - an diesen hielt sich die Sozialversicherungsanstalt dieses Kantons - nach Rz. 34 ff. der Seite 10 Wegleitung der Schweizerischen Steuerkonferenz zur Bewertung von Wertpapieren ohne Kurswert für die Vermögenssteuer (Kreisschreiben Nr. 28 vom 28. August 2008) und nicht nach Rz. 32 f. dieser Wegleitung ermittelte. Unbestrittenermassen kann ein Unternehmen nach verschiedenen Methoden bewertet werden (Urteil des Bundesgerichts 2C_504/2009 vom 15. April 2010 Erw. 3.2). Dabei gilt, dass neugegründete Aktiengesellschaften nach Rz. 32 der Wegleitung für das Gründungsjahr und die Aufbauphase (allein) nach dem Sub- stanzwert zu bewerten sind. Demgegenüber ist bei rechtlich zwar neu gegründeten Aktien- gesellschaften, die aber aus einer Einzelfirma hervorgegangen sind und nur die Rechtsform geändert haben, Rz. 34 der Wegleitung sinngemäss anzuwenden. Demnach errechnet sich der Unternehmenswert in solchen Fällen aus der durch drei geteilten Summe aus doppel- tem Ertragswert und einfachem Substanzwert.</w:t>
      </w:r>
    </w:p>
    <w:p>
      <w:r>
        <w:rPr>
          <w:b/>
        </w:rPr>
        <w:t>E. 5.2</w:t>
      </w:r>
    </w:p>
    <w:p>
      <w:r>
        <w:t>Im vorliegenden Fall räumte die Steuerverwaltung Appenzell Ausserrhoden mit Schreiben vom 26. August 2014 gegenüber der Ausgleichskasse dieses Kantons ein, dass im Falle von C___ bzw. der A___ AG Rz. 34 ff. der Wegleitung hätte angewendet werden müssen. Allerdings sei gegen den allein anhand des Substanzwertes ermittelten und deshalb zu tiefen Unternehmenswert keine Einsprache erhoben worden. Mit E-Mail vom 2. September 2014 bezifferte die Steuerverwaltung den Unternehmenswert der A___ AG für das Jahr 2010 gegenüber der Ausgleichskasse sodann auf rund Fr. 1.8 Mio. und für 2011 auf rund Fr. 2.4 Mio. Ferner meinte sie, auf ein Revisionsbegehren der A___ AG betreffend die Steuerveranlagungen 2010-12 werde voraussichtlich nicht eingetreten.</w:t>
      </w:r>
    </w:p>
    <w:p>
      <w:r>
        <w:t>Vor diesem Hintergrund bezeichnete die Ausgleichskasse die Angaben der Steuerverwal- tung mit Schreiben vom 30. September 2014 als verbindlich. Damit verkannte sie jedoch, dass die A___ AG bzw. C___ nicht gehalten war, gegen die Steuerveranlagung Beschwerde zu erheben, da seitens der Veranlagten durchaus ein Interesse an möglichst tiefen Werten bestehen kann. Wenn also auf diese höheren approximativen Un- ternehmenswerte gemäss E-Mail vom 2. September 2014 für 2010 von rund Fr. 1.8 Mio. und für 2011 von rund Fr. 2.4 Mio. abgestellt würde, würde sich die Rendite bei einer Aus- schüttung 2010 von Fr. 176'000.-- auf 9.78% und bei einer Ausschüttung 2011 von Fr. 310'000.- auf 12.92% belaufen; letzterer Wert wäre durch die sog. Nidwaldner-Praxis noch gedeckt, da kleiner als 15%, würde der (neuen) st.gallischen Praxis und der Praxis des Bundesgerichts aufgrund eines Wertes von grösser als 10% jedoch nicht entsprechen.</w:t>
      </w:r>
    </w:p>
    <w:p>
      <w:r>
        <w:t>Seite 11</w:t>
      </w:r>
    </w:p>
    <w:p>
      <w:r>
        <w:rPr>
          <w:b/>
        </w:rPr>
        <w:t>E. 5.3</w:t>
      </w:r>
    </w:p>
    <w:p>
      <w:r>
        <w:t>Indessen sind die Unternehmenswerte nur approximativ ermittelt worden, sodass sich die errechneten Werte noch ändern können. Unter diesen Umständen rechtfertigt es sich, den angefochtenen Einspracheentscheid vom 20. Mai 2014 mitsamt den diesem zugrunde- liegenden Verfügungen vom 21. Januar 2014 aufzuheben und die Sache an die Aus- gleichskasse zurückzuweisen, damit diese bei der Steuerverwaltung eine exakte Unter- nehmensbewertung der A___ AG einhole (vgl. Urteil des Bundesgerichts H 38/05 vom</w:t>
      </w:r>
    </w:p>
    <w:p>
      <w:r>
        <w:rPr>
          <w:b/>
        </w:rPr>
        <w:t>E. 5.4</w:t>
      </w:r>
    </w:p>
    <w:p>
      <w:r>
        <w:t>Unter diesen Umständen kann offen bleiben, ob C___ in den Jahren 2010 und 2011 ein angemessenes Gehalt bezog, da die Aufrechnung der Dividendenzahlung als Lohn nur in Frage kommt, falls kumulativ ein unangemessen tiefer Lohn und gleichzeitig eine offensichtlich überhöhte Dividende ausgerichtet wurde, worauf das Bundesgericht in einem kürzlich ergangenen und in der Presse (St. Galler Tagblatt, Ausgabe vom 9. Mai 2015, S 21) kommentierten Urteil hinwies (9C_837/2014 vom 8. April 2015 Erw. 2.3).</w:t>
      </w:r>
    </w:p>
    <w:p>
      <w:r>
        <w:t>6. 6.1</w:t>
      </w:r>
    </w:p>
    <w:p>
      <w:r>
        <w:t>Hinsichtlich der Kosten gilt. dass nach Art. 1 Abs. 1 AHVG das ATSG auf die Bestimmun- gen des ersten Teils, also auch auf die Rechtspflege (Art. 84 ff. AHVG), anwendbar sind, sodass - unabhängig vom Verfahrensausgang - grundsätzlich Kostenfreiheit besteht (Art. 1 Abs. 1 AHVG i.V.m. Art. 61 lit. a ATSG). Dementsprechend sind vorliegend keine Kosten zu erheben.</w:t>
      </w:r>
    </w:p>
    <w:p>
      <w:r>
        <w:t>6.2</w:t>
      </w:r>
    </w:p>
    <w:p>
      <w:r>
        <w:t>Der durch RA B___ vertretenen Beschwerdeführerin ist zulasten der Ausgleichskasse eine Parteientschädigung von pauschal Fr. 2'500.-- (inklusiv Barauslagen und Mehrwertsteuer) Seite 12 zuzusprechen (Art. 1 Abs. 1 AHVG i.V.m. Art. 61 lit. g ATSG und Art. 2 des Gesetzes über die Ausübung des Anwaltsberufes vom 11. April 2005 [Anwaltsgesetz; bGS 145.52]).</w:t>
      </w:r>
    </w:p>
    <w:p>
      <w:r>
        <w:t>Das Obergericht erkennt:</w:t>
      </w:r>
    </w:p>
    <w:p>
      <w:r>
        <w:t>1. Die Beschwerde der A___ AG wird gutgeheissen.</w:t>
      </w:r>
    </w:p>
    <w:p>
      <w:r>
        <w:t>2. Es werden keine Kosten erhoben.</w:t>
      </w:r>
    </w:p>
    <w:p>
      <w:r>
        <w:t>3. Der Beschwerdeführerin wird eine Parteientschädigung von pauschal Fr. 2'500.-- (inklusiv Barauslagen und Mehrwertsteuer) zulasten der Ausgleichskasse zugesprochen.</w:t>
      </w:r>
    </w:p>
    <w:p>
      <w:r>
        <w:t>4.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die Beschwerdeführerin über deren Vertreter, an die Vorinstanz und an das Bundesamt für Sozialversicherung.</w:t>
      </w:r>
    </w:p>
    <w:p>
      <w:r>
        <w:t>Im Namen der 5. Abteilung des Obergerichts</w:t>
      </w:r>
    </w:p>
    <w:p>
      <w:r>
        <w:t>Der Obergerichtspräsident:</w:t>
      </w:r>
    </w:p>
    <w:p>
      <w:r>
        <w:t>lic. iur. Ernst Zingg Der Gerichtsschreiber:</w:t>
      </w:r>
    </w:p>
    <w:p>
      <w:r>
        <w:t>lic. iur. Joachim Kürsteiner</w:t>
      </w:r>
    </w:p>
    <w:p>
      <w:r>
        <w:t>versandt am: 14.07.15</w:t>
      </w:r>
    </w:p>
    <w:p>
      <w:r>
        <w:rPr>
          <w:b/>
        </w:rPr>
        <w:t>E. 10</w:t>
      </w:r>
    </w:p>
    <w:p>
      <w:r>
        <w:t>Juni 2005 Erw. 3.3). In diesem Zusammenhang sei noch erwähnt, dass die Steuerver- waltung auf ein Revisionsbegehren zufolge Übersehens einer aktenkundigen erheblichen Tatsache - als solche ist vorliegend die Überführung der Einzelfirma in eine Aktiengesell- schaft mit der Folge, dass eine andere Methode zur Unternehmensbewertung heranzu- ziehen war - wohl einzutreten hätte (vgl. Art. 66 Abs. 2 lit. b des Bundesgesetzes über das Verwaltungsverfahren vom 20. Dezember 1968 [VwVG; SR 172.021]). Da die A___ AG bzw. C___ steuerrechtlich kein Interesse an einer Beschwerde gegen die zu niedrige Veranlagung durch die Steuerverwaltung haben konnte, wäre Art. 66 Abs. 3 VwVG, wonach der erwähnte Revisionsgrund nicht anzuerkennen ist, wenn er im Rahmen des Veranlagungsverfahrens hätte geltend gemacht werden können, wohl nicht als einschlägig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