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O4V-19-2 vom 20. Februar 2020</w:t>
      </w:r>
    </w:p>
    <w:p>
      <w:r>
        <w:t>AR Gerichte, 2020-02-20, DE</w:t>
      </w:r>
    </w:p>
    <w:p>
      <w:r>
        <w:rPr>
          <w:b/>
        </w:rPr>
        <w:t xml:space="preserve">Quelle: </w:t>
      </w:r>
      <w:r>
        <w:t>https://mcp.opencaselaw.ch/entscheid/ar_gerichte_OG_O4V-19-2</w:t>
      </w:r>
    </w:p>
    <w:p>
      <w:r>
        <w:t>FR: AR_GERICHTE OG O4V-19-2 du 20 février 2020</w:t>
      </w:r>
    </w:p>
    <w:p>
      <w:r>
        <w:t>IT: AR_GERICHTE OG O4V-19-2 del 20 febbraio 2020</w:t>
      </w:r>
    </w:p>
    <w:p>
      <w:pPr>
        <w:pStyle w:val="Heading2"/>
      </w:pPr>
      <w:r>
        <w:t>Regeste</w:t>
      </w:r>
    </w:p>
    <w:p>
      <w:r>
        <w:t>Obergericht Appenzell Ausserrhoden 4. Abteilung Die vom Beschwerdeführer gegen dieses Urteil erhobene Beschwerde an das Bundesgericht hat dieses mit Entscheid vom 20. Februar 2020 abgewiesen (2C_157/2020). Urteil vom 31. Oktober 2019 Mitwi</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Die sachliche bzw. funktionale Zuständigkeit des Ober- gerichts ergibt sich aus Art. 54 Abs. 1 des Gesetzes über die Verwaltungsrechtspflege (VRPG, bGS 143.1), wonach das Obergericht zur Behandlung von Beschwerden gegen letztinstanzliche Verfügungen der Verwaltungsbehörden zuständig ist. Auf die Beschwerde ist damit einzutreten.</w:t>
      </w:r>
    </w:p>
    <w:p>
      <w:r>
        <w:rPr>
          <w:b/>
        </w:rPr>
        <w:t>E. 2</w:t>
      </w:r>
    </w:p>
    <w:p>
      <w:r>
        <w:t>In materiell-rechtlicher Hinsicht ist strittig, ob der Beschwerdeführer nach Auflösung der Ehe einen Anspruch auf Erteilung und Verlängerung der Aufenthaltsbewilligung in der Schweiz nach Art. 42 und 43 des Bundesgesetztes über die Ausländerinnen und Ausländer und über die Integration (AIG, SR 142.20) hat, weil wichtige persönliche Gründe einen weiteren Aufenthalt in der Schweiz erforderlich machen (Art. 50 Abs. 1 lit. b AIG).</w:t>
      </w:r>
    </w:p>
    <w:p>
      <w:r>
        <w:rPr>
          <w:b/>
        </w:rPr>
        <w:t>E. 3</w:t>
      </w:r>
    </w:p>
    <w:p>
      <w:r>
        <w:t>Vorab ist festzuhalten, dass den diesem Fall zugrundeliegenden Akten die Unmöglichkeit einer Verlängerung der Aufenthaltsbewilligung gestützt auf Art. 50 Abs. 1 lit. a (in Verbin- dung mit Art. 43 AIG) entnommen werden kann, welcher eine Verlängerung dann vor- sieht, wenn die Ehegemeinschaft mindestens drei Jahre bestanden hat und die Integrationskriterien nach Art. 58a AIG erfüllt sind: Den vorliegenden Dokumenten ist zu entnehmen, dass die Ehe formell am XX.XX.2015 geschlossen und seither nicht aufgelöst wurde. Da keine gegenteiligen Angaben ersichtlich sind, wird angenommen, dass die Ehe zwischen dem Beschwerdeführer und B.__________ nach dem Rückzug des Scheidungsbegehrens am 9. März 2018 (act. 10, S. 155) formell bis heute fortbestand.</w:t>
      </w:r>
    </w:p>
    <w:p>
      <w:r>
        <w:rPr>
          <w:b/>
        </w:rPr>
        <w:t>E. 4</w:t>
      </w:r>
    </w:p>
    <w:p>
      <w:r>
        <w:t>Da der Gesetzgeber mit den Nachzugsbestimmungen - wozu auch Art. 50 Abs. 1 AIG zu zählen ist - nicht formell bestehende Ehen, sondern tatsächlich gelebte Ehegemein- schaften schützen wollte, wird in den Art. 42 bis 45 AIG grundsätzlich das Zusammen- leben der Ehegatten für die Möglichkeit der Erteilung bzw. Verlängerung von Aufenthalts- bewilligungen an ausländische Ehegatten vorausgesetzt. Art. 50 AIG ist somit bereits beim definitiven Scheitern der ehelichen Gemeinschaft anwendbar, unabhängig davon, ob die Ehe formell noch besteht (Urteil des Bundesgerichts 2C_304/2009 vom 9. Dezember 2009 E. 3.2 in fine). Eine solche faktische Trennung setzt voraus, dass die Ehegatten ihr Leben unabhängig voneinander gestalten, sich geistig-seelisch voneinander gelöst haben und ein wirtschaftlicher sowie emotionaler Bruch eingetreten ist. Die einseitige Äusserung eines Ehegatten diesbezüglich reicht zum Bruch des gemeinsamen Ehewillens aus (vgl. Seite 5 MARTINA CARONI, in: Caroni/Gächter/Thurnherr [Hrsg.], Bundesgesetz über die Ausländerinnen und Ausländer, 2010, N. 9, 16 zu Art. 50 AuG). Diesfalls kann das akzessorische Anwesenheitsrecht des nachgezogenen Ehepartners nur noch bei Vorlie- gen bestimmter Voraussetzungen zur Vermeidung humanitärer Härtefälle weitergelten.</w:t>
      </w:r>
    </w:p>
    <w:p>
      <w:r>
        <w:rPr>
          <w:b/>
        </w:rPr>
        <w:t>E. 5</w:t>
      </w:r>
    </w:p>
    <w:p>
      <w:r>
        <w:t>Vorliegend ergibt sich aus der Aktennotiz des Amtes für Inneres (act. 10, S. 228), dass der Beschwerdeführer laut eigener Aussage bereits seit Juni 2017 nicht mehr mit seiner Ehefrau in XY zusammen lebe. Folglich hat die eheliche Gemeinschaft faktisch bloss rund zwei Jahre bestanden. Dies wird vom Beschwerdeführer auch nicht bestritten (act. 1, S. 3). Damit wurde die nach Art. 50 Abs. 1 lit. a AIG erforderliche 3-jährige Dauer nicht erreicht.</w:t>
      </w:r>
    </w:p>
    <w:p>
      <w:r>
        <w:rPr>
          <w:b/>
        </w:rPr>
        <w:t>E. 6</w:t>
      </w:r>
    </w:p>
    <w:p>
      <w:r>
        <w:t>Neben dem in Art. 50 Abs. 1 lit. a AIG genannten Aufenthaltsbewilligungs- bzw. Verlängerungsgrund kann ein solcher nach Art. 50 Abs. 1 lit. b AIG selbst im Fall eines definitiven Scheiterns der Ehe- oder Familiengemeinschaft bestehen, wenn die Rückkehr in das Heimatland aus wichtigen persönlichen Gründen, die einen weiteren Aufenthalt in der Schweiz erforderlich machen, unzumutbar wäre. Bei den hierfür präzisierend in Art. 50 Abs. 2 AIG aufgezählten Gründen handelt es sich nicht um einen abschliessenden Kata- log. Der Gesetzgeber hat vielmehr bewusst auf eine umfassende Liste verzichtet, da nicht sämtliche entsprechende Situationen voraussehbar sind (Botschaft vom 21. Mai 2002 zum Bundesgesetz über die Ausländerinnen und Ausländer, BBl 2001, S. 3795).</w:t>
      </w:r>
    </w:p>
    <w:p>
      <w:r>
        <w:rPr>
          <w:b/>
        </w:rPr>
        <w:t>E. 7</w:t>
      </w:r>
    </w:p>
    <w:p>
      <w:r>
        <w:t>Nach Ansicht des Beschwerdeführers rechtfertige sich eine Verlängerung der Aufenthalts- bewilligung deshalb, weil er momentan bereits in einer Beziehung mit einer anderen Frau sei, die er gerne heiraten möchte und weshalb er bereits erneut eine Scheidungsklage eingereicht habe. Unter diesen Umständen erscheine es als angebracht, dem Beschwerdeführer noch Zeit von einigen wenigen Monaten zu lassen, damit er genügend Zeit habe, sämtliche Heiratsvorkehrungen zu treffen. Dadurch hätte er die Möglichkeit, in der Schweiz zu verbleiben, ohne für eine kurze Zeit ausreisen zu müssen und seine Arbeitsstelle zu verlieren (act. 1, S. 3). Andernfalls habe der Beschwerdeführer auch einen Anspruch auf Verlängerung der Aufenthaltsbewilligung gestützt auf Art. 50 Abs. 1 lit. b in Verbindung mit Art. 50 Abs. 2 AIG, wenn wichtige persönliche Gründe vorliegen würden; unter anderem wenn der Ehegatte Opfer ehelicher Gewalt wurde. Die während des Zusammenlebens erlittene psychische Gewalt würde es rechtfertigen, dass der Beschwerdeführer auch nach dem Ende des Zusammenlebens mit B.__________ noch in der Schweiz verbleiben dürfe (act. 1, S. 4, unter Hinweis auf die Verfahrensakten, v.a. auf den Chat-Verkehr der Ehegatten). Hinzu komme, dass eine Rückkehr in sein Heimatland eine unverhältnismässige Härte darstellen würde. Einerseits, weil der Beschwerdeführer Seite 6 in der Schweiz sehr gut integriert sei (angeführt werden sehr gute Sprachkenntnisse, eine regelmässige Erwerbstätigkeit, keine Vorstrafen und Schulden, eine gute Integration in die Gesellschaft). Andererseits, da eine Rückkehr in sein Heimatland Nigeria mit einer unge- wissen Zukunft verbunden sei, weil er nicht genügend verdienen könne, um sich ein Leben oberhalb der Armutsgrenze finanzieren zu können und zurzeit gemäss Amnesty International diverse wirtschaftliche und militärische Konflikte Nigeria erschüttern würden (act. 1, S. 5 ff.).</w:t>
      </w:r>
    </w:p>
    <w:p>
      <w:r>
        <w:rPr>
          <w:b/>
        </w:rPr>
        <w:t>E. 8</w:t>
      </w:r>
    </w:p>
    <w:p>
      <w:r>
        <w:t>Diese Ausführungen sind an folgenden, einschlägigen Kriterien aus Rechtsprechung und Lehre zu Art. 50 AIG zu messen: Ist der Anspruch nach Art. 50 AIG bereits unter- gegangen, weil es am gemeinsamen Zusammenleben fehlt, ohne das wichtige Gründe für das Getrenntleben ersichtlich sind (etwa rein beruflicher Natur, namentlich weil die Arbeitsorte der beiden Ehegatten räumlich weit auseinanderliegen), kann der Anspruch nach Art. 50 AIG regelmässig nicht wieder aufleben (BGE 137 II 345 E. 3.2.3; Urteil des Bundesgerichts 2C_365/2010 vom 22. Juni 2011 E. 3.5). Massgeblich ist, wie sich die Pflicht des Ausländers, die Schweiz verlassen zu müssen, nach der gescheiterten Ehe auf seine persönliche Situation auswirkt. Da Art. 50 Abs. 1 AIG von einem Weiterbestehen des Anspruchs nach Art. 42 und 43 AIG spricht, muss sich der Härtefall dabei grundsätz- lich auf die Ehe und den damit verbundenen Aufenthalt beziehen (MARC SPESCHA, in: Spescha/Thür/Zünd/Bolzli/Hruschka [Hrsg.], Kommentar Migrationsrecht, 5. Aufl. 2019, N.</w:t>
      </w:r>
    </w:p>
    <w:p>
      <w:r>
        <w:rPr>
          <w:b/>
        </w:rPr>
        <w:t>E. 12</w:t>
      </w:r>
    </w:p>
    <w:p>
      <w:r>
        <w:t>zu Art. 50 AIG). Verlangt wird eine „erhebliche Intensität der Konsequenzen für das Privat- und Familienleben […], die mit der Lebenssituation nach dem Dahinfallen der abgeleiteten Anwesenheitsberechtigung verbunden sein muss“ (BGE 139 II 393 E. 6; 138 II 229 E. 3.1; 137 II 345 E. 3.2.3). Allgemeine Hinweise genügen hierzu nicht. Die befürch- tete Beeinträchtigung muss im Einzelfall aufgrund der konkreten Umstände glaubhaft erscheinen. Die Rückkehr in Lebensverhältnisse, die im Herkunftsland allgemein üblich sind, stellt keinen wichtigen persönlichen Grund dar, der an sich einen weiteren Aufenthalt in der Schweiz rechtfertigt (vgl. Urteile des Bundesgerichts 2C_293/2017 vom 30. Mai 2017 E. 3.4; 2C_837/2016 vom 23. Dezember 2016 E. 4.3.2 und 2C_672/2015 vom</w:t>
      </w:r>
    </w:p>
    <w:p>
      <w:r>
        <w:rPr>
          <w:b/>
        </w:rPr>
        <w:t>E. 14</w:t>
      </w:r>
    </w:p>
    <w:p>
      <w:r>
        <w:t>Nach Art. 19 Abs. 3 in Verbindung mit Art. 53 Abs. 1 VRPG ist im Beschwerdeverfahren vor Obergericht gebühren- und kostenpflichtig, wer ganz oder teilweise unterliegt oder auf dessen Rechtsmittel nicht eingetreten wird. Dem Beschwerdeführer ist ausgangsgemäss eine Entscheidgebühr aufzuerlegen, wobei eine Gebühr von Fr. 1‘200.00 als angemessen erscheint (Art. 4a des Gesetzes über die Gebühren in Verwaltungssachen [bGS 233.2]). Auf die Zusprechung einer Parteientschädigung besteht kein Anspruch (Art. 53 Abs. 3 VRPG).</w:t>
      </w:r>
    </w:p>
    <w:p>
      <w:r>
        <w:t>Seite 11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