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O4V-18-36 vom 29. August 2019</w:t>
      </w:r>
    </w:p>
    <w:p>
      <w:r>
        <w:t>AR Gerichte, 2019-08-29, DE</w:t>
      </w:r>
    </w:p>
    <w:p>
      <w:r>
        <w:rPr>
          <w:b/>
        </w:rPr>
        <w:t xml:space="preserve">Quelle: </w:t>
      </w:r>
      <w:r>
        <w:t>https://mcp.opencaselaw.ch/entscheid/ar_gerichte_OG_O4V-18-36</w:t>
      </w:r>
    </w:p>
    <w:p>
      <w:r>
        <w:t>FR: AR_GERICHTE OG O4V-18-36 du 29 août 2019</w:t>
      </w:r>
    </w:p>
    <w:p>
      <w:r>
        <w:t>IT: AR_GERICHTE OG O4V-18-36 del 29 agosto 2019</w:t>
      </w:r>
    </w:p>
    <w:p>
      <w:pPr>
        <w:pStyle w:val="Heading2"/>
      </w:pPr>
      <w:r>
        <w:t>Regeste</w:t>
      </w:r>
    </w:p>
    <w:p>
      <w:r>
        <w:t>Obergericht Appenzell Ausserrhoden 4. Abteilung Urteil vom 29. August 2019 Mitwirkende Obergerichtsvizepräsident W. Kobler Oberrichterinnen D. Cadosch Autolitano, M. Gasser Aebischer Oberrichter E. Graf, Dr. P. Louis Obergerichtsschreibe</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 richts ergibt sich aus Art. 54 Abs. 1 des Gesetzes über die Verwaltungsrechtspflege (VRPG, bGS 143.1), wonach das Obergericht zur Behandlung von Beschwerden gegen letztinstanzliche Verfügungen der Verwaltungsbehörden zuständig ist. Auf die Beschwerde ist damit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Die Überprüfung der Angemessen- Seite 5 heit ist dem Obergericht jedoch verwehrt (Art. 56 Abs. 1 VRPG e contrario). Rechtsfragen unterstehen dem Grundsatz der Rechtsanwendung von Amtes wegen (iura novit curia), welcher bedeutet, dass das Gericht an die Rechtsauffassungen der Verfahrensbeteiligten nicht gebunden ist; auch nicht an die von ihnen nach Massgabe des kantonalen Verfah- rensrechts form- und fristgerecht vorgetragenen Rechtsbehauptungen (BGE 133 V 196 E.1.4). Die Entscheidbehörde ist im Rahmen der Rechtsanwendung dazu verpflichtet, auf den festgestellten Sachverhalt jenen Rechtsatz anzuwenden, den sie als den zutreffenden ansieht, und ihm die Auslegung zu geben, von der sie – unter Berücksichtigung von Recht- sprechung und Lehre – überzeugt ist (KASPAR PLÜSS, in: Alain Griffel [Hrsg.], Kommentar zum Verwaltungsrechtspflegegesetz des Kantons Zürich, 3. Aufl. 2014, N. 166 zu § 7 VRG; BGE 130 V 253 E. 3.5).</w:t>
      </w:r>
    </w:p>
    <w:p>
      <w:r>
        <w:rPr>
          <w:b/>
        </w:rPr>
        <w:t>E. 3</w:t>
      </w:r>
    </w:p>
    <w:p>
      <w:r>
        <w:t>Gemäss Art. 37 Abs. 1 AIG müssen Personen mit einer Aufenthaltsbewilligung im Voraus eine entsprechende Bewilligung des neuen Kantons beantragen, wenn sie ihren Wohnort in einen anderen Kanton verlegen wollen. Personen mit einer Aufenthaltsbewilligung haben Anspruch auf den Kantonswechsel, wenn sie nicht arbeitslos sind und keine Widerrufs- gründe nach Art. 62 Abs. 1 AIG vorliegen (Art. 37 Abs. 2 AIG).</w:t>
      </w:r>
    </w:p>
    <w:p>
      <w:r>
        <w:rPr>
          <w:b/>
        </w:rPr>
        <w:t>E. 3.1</w:t>
      </w:r>
    </w:p>
    <w:p>
      <w:r>
        <w:t>Aus Art. 37 Abs. 1 AIG folgt zum einen, dass das Bewilligungsverfahren betreffend Kan- tonswechsel zwingend im bisherigen Kanton abgewartet werden muss. Erst nach der aus- länderrechtlichen Bewilligungserteilung durch den neuen Kanton ist der Aufenthalter be- rechtigt, sich einwohnerkontrollrechtlich ab- bzw. anzumelden und im neuen Kanton Wohn- sitz zu nehmen (PETER BOLZLI, in: Spescha/Thür/Zünd/Bolzli/Hruschka [Hrsg.] Migrations- recht, 4. Aufl. 2015, N. 1 zu Art. 37 AIG). Wird der Wohnort dennoch ohne erforderliche Bewilligung in einen anderen Kanton verlegt, stellt dies eine verwaltungsstrafrechtliche Übertretung dar und der betroffene Ausländer wird mit Busse bestraft (Art. 120 Abs. 1 lit. c AIG).</w:t>
      </w:r>
    </w:p>
    <w:p>
      <w:r>
        <w:t>Zum anderen setzt der Anspruch auf Kantonswechsel voraus, dass der Gesuchsteller so- wohl im Zeitpunkt des Gesuchs wie auch im Entscheidungszeitpunkt Inhaber einer gültigen Aufenthaltsbewilligung ist. Dies geht aus Art. 37 Abs. 1 und 2 AIG hervor, welche beide von „Personen mit einer Aufenthaltsbewilligung“ sprechen. Verliert der Gesuchsteller während des hängigen Verfahrens die Aufenthaltsbewilligung des bisherigen Kantons oder wird er arbeitslos, kann ihm der Kantonswechsel gestützt auf Art. 37 Abs. 2 AIG nicht mehr bewil- ligt werden (BOLZLI, a.a.O., N. 8a zu Art. 37 AIG; Urteil des Verwaltungsgerichtshofs Frei- burg Nr. 601 2017 127 vom 2. Mai 2018 E. 4.2; Urteil des Bundesgerichts 2C_208/2011 vom 23. September 2011 E. 1). Die Bewilligung eines Kantonswechsels hängt damit vom Seite 6 Bestand der Aufenthaltsbewilligung in einem anderen Kanton ab, und diese Voraussetzung muss auch im Zeitpunkt des Entscheides des Obergerichts erfüllt sein.</w:t>
      </w:r>
    </w:p>
    <w:p>
      <w:r>
        <w:rPr>
          <w:b/>
        </w:rPr>
        <w:t>E. 3.2</w:t>
      </w:r>
    </w:p>
    <w:p>
      <w:r>
        <w:t>Im vorliegenden Fall ist unbestritten, dass der Beschwerdeführer das Verfahren betreffend Kantonswechsel im bisherigen Wohnortkanton St. Gallen nicht abgewartet hat. Vielmehr hat er sich erst 14 Tage nach dem Umzug nach Herisau bei der Einwohnerkontrolle gemel- det und das entsprechende Gesuch eingereicht (vgl. dazu das Gesuch Ausländerbewilli- gung vom 15. Dezember 2017; act. 6/124). Aus diesem Formular geht zudem hervor, dass der Beschwerdeführer bei der Eingabe des Gesuchs arbeitslos war, was zumindest zu die- sem Zeitpunkt einer Bewilligung entgegenstand. Entscheidend ist jedoch Folgendes: Der Beschwerdeführer verfügte bei der Einreichung des Kantonswechselgesuchs am 15. De- zember 2017 zwar noch über eine gültige Aufenthaltsbewilligung im Kanton St. Gallen. Die- se lief jedoch aufgrund der rechtskräftigen Verfügung des Migrationsamts St. Gallen vom 13. September 2017 (act. 6/362) am 18. April 2018 ab und wurde in der Folge nicht verlän- gert, was vom Beschwerdeführer auch nicht bestritten wird (vgl. dazu das Schreiben des Migrationsamts St. Gallen vom 31. Mai 2019; act. 17). Folglich verfügt der Beschwerdefüh- rer seit dem 18. April 2018 in seinem bisherigen Wohnsitzkanton über keine gültige Aufent- haltsbewilligung mehr.</w:t>
      </w:r>
    </w:p>
    <w:p>
      <w:r>
        <w:rPr>
          <w:b/>
        </w:rPr>
        <w:t>E. 3.3</w:t>
      </w:r>
    </w:p>
    <w:p>
      <w:r>
        <w:t>Damit sind zwei Voraussetzungen von Art. 37 Abs. 1 AIG (Abwarten des Bewilligungsver- fahrens im bisherigen Kanton und gültige Aufenthaltsbewilligung) nicht erfüllt, womit die Abweisung des Gesuchs des Beschwerdeführers gerechtfertigt ist. Etwas anderes würde ausnahmsweise nur gelten, wenn die Aufenthaltsbewilligung routinemässig zu verlängern wäre, da sämtliche Voraussetzungen einer Verlängerung zweifelsohne erfüllt sind (Ur- teile des Verwaltungsgerichts Zürich VB.2014.00172 vom 4. Juni 2014 E. 3.4 und VB.2013.00711 vom 22. Januar 2014 E. 2.3). Dies muss aufgrund der Verfügung vom 13. September 2017 vorliegend verneint werden, da angesichts der aktenkundigen polizeili- chen Intervention, der angeordneten Untersuchungshaft und des Strafbefehls wegen Un- gehorsams des Schuldners vom 24. Mai 2018 (act. 6/78) ein tadelloses Verhalten und eine gelungene Integration des Beschwerdeführers in Frage zu stellen sind, selbst wenn in Be- zug auf hängige Strafverfahren die Unschuldsvermutung gilt. Zudem hat es der Beschwer- deführer offenkundig bis heute versäumt, im Kanton St. Gallen ein Verlängerungsgesuch zu stellen, was Voraussetzung einer routinemässigen Verlängerung der Aufenthaltsbewilligung wäre (Art. 59 Abs. 1 der Verordnung über Zulassung, Aufenthalt und Erwerbstätigkeit, VZAE, SR 142.201).</w:t>
      </w:r>
    </w:p>
    <w:p>
      <w:r>
        <w:rPr>
          <w:b/>
        </w:rPr>
        <w:t>E. 3.4</w:t>
      </w:r>
    </w:p>
    <w:p>
      <w:r>
        <w:t>In Anbetracht dieser Umstände ist die Beschwerde abzuweisen und die Verweigerung der Erteilung der Bewilligung zum Kantonswechsel im Ergebnis zu bestätigen. Damit erübrigt Seite 7 es sich, der Argumentation der Vorinstanzen betreffend dem Vorliegen von Widerrufs- gründen im Sinne von Art. 62 Abs. 1 AIG und den diesbezüglichen Rügen des Beschwer- deführers nachzugehen, da sich am Ausgang des Verfahrens nichts ändern würde, selbst wenn die Widerrufsgründe nicht gegeben wären. Dem Beschwerdeführer ist jedoch eine neue Ausreisefrist für den Wegzug aus dem Kanton Appenzell Ausserrhoden bis zum 30. November 2019 anzusetzen. Sollte ein Weiterzug dieses Urteils an das Bundesgericht erfolgen und Letzteres dem Rechtsmittel aufschiebende Wirkung verleihen, hat der Be- schwerdeführer sich binnen zweier Monate ab dem Datum eines den Wegweisungspunkt nicht ändernden bundesgerichtlichen Endentscheids aus dem Kanton Appenzell Ausser- rhoden zu entfernen. Für eine allfällige Wegweisung aus der Schweiz und deren Vollzug ist im Übrigen der Kanton St. Gallen zuständig (Staatssekretariat für Migration SEM, Weisun- gen AuG, 2013, Stand 2019, Ziff. 3.1.8.2.1).</w:t>
      </w:r>
    </w:p>
    <w:p>
      <w:r>
        <w:rPr>
          <w:b/>
        </w:rPr>
        <w:t>E. 4</w:t>
      </w:r>
    </w:p>
    <w:p>
      <w:r>
        <w:t>Der Beschwerdeführer lässt im Weiteren die unentgeltliche Rechtsverbeiständung für das Rekursverfahren vor der Vorinstanz beantragen. Da der Einzelrichter im Beschwerdever- fahren die unentgeltliche Rechtspflege und Rechtsverbeiständung gewährt hat (act. 4) und auch der Rekurs aufgrund des Umstands, dass die Vorinstanz dem Ablauf der Aufent- haltsbewilligung keine Beachtung geschenkt hat, nicht im Vornherein als aussichtlos be- zeichnet werden konnte, ist dem Beschwerdeführer die unentgeltliche Rechtsverbeistän- dung nachträglich zu gewähren. Der Beschwerdeführer macht hierzu eine Entschädigung in der Höhe von Fr. 2‘859.35 geltend, wobei er von einem Stundenansatz von Fr. 180.00 aus- geht. Weil bis zum 31. Dezember 2018 ein Mindestansatz von Fr. 170.00 galt, (alt. Art. 24 Abs. 1 der Verordnung über den Anwaltstarif. AT, bGS 145.53) ergibt sich eine Entschädi- gung für das Rekursverfahren von Fr. 2‘722.00 (Barauslagen und Mehrwertsteuer inbe- griffen), unter Vorbehalt der Rückerstattungspflicht nach Art. 25 Abs. 3 VRPG. Diesbezüg- lich ist dem Obergericht im Dispositiv vom 29. August 2019 ein Rechnungsfehler unterlau- fen, weil versehentlich die geltend gemachten Portokosten von Fr. 44.20 (zuzüglich Mehr- wertsteuer) nicht berücksichtigt wurden. Im Sinne von Art. 59 i.V.m. Art. 28 Abs. 1 VRPG wird die Entschädigung im Dispositiv des vorliegenden begründeten Urteil berichtigt.</w:t>
      </w:r>
    </w:p>
    <w:p>
      <w:r>
        <w:rPr>
          <w:b/>
        </w:rPr>
        <w:t>E. 5</w:t>
      </w:r>
    </w:p>
    <w:p>
      <w:r>
        <w:t>Nach Art. 19 Abs. 3 in Verbindung mit Art. 53 Abs. 1 VRPG ist im Beschwerdeverfahren vor Obergericht gebühren- und kostenpflichtig, wer ganz oder teilweise unterliegt oder auf des- sen Rechtsmittel nicht eingetreten wird. Die Entscheidgebühr wird auf insgesamt Fr. 1‘200.00 festgesetzt (Art. 4a des Gesetzes über die Gebühren in Verwaltungssachen, bGS 233.2). Diese wird im Rahmen des Obsiegens und Unterliegens zu drei Viertel (Fr. 900.--) dem Beschwerdeführer auferlegt und zu einem Viertel (Fr. 300.--) auf die Staatskasse genommen. Der Kostenanteil des Beschwerdeführers wird im Rahmen der Seite 8 unentgeltlichen Prozessführung der Staatskasse belastet, unter Vorbehalt der Rückerstat- tungspflicht nach Art. 25 Abs. 3 VRPG.</w:t>
      </w:r>
    </w:p>
    <w:p>
      <w:r>
        <w:rPr>
          <w:b/>
        </w:rPr>
        <w:t>E. 6</w:t>
      </w:r>
    </w:p>
    <w:p>
      <w:r>
        <w:t>Rechtsmittel:</w:t>
      </w:r>
    </w:p>
    <w:p>
      <w:r>
        <w:t>Gegen diesen Entscheid kann innert 30 Tagen seit der Zustellung subsidiäre Verfassungs- beschwerde erhoben werden. Die Zulässigkeit einer solchen Beschwerde richtet sich nach Art. 113 ff. Bundesgerichtsgesetz (BGG, SR 173.110). Die Beschwerde ist beim Schweize- rischen Bundesgericht, Avenue du Tribunal fédéral 29, 1000 Lausanne 14,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7</w:t>
      </w:r>
    </w:p>
    <w:p>
      <w:r>
        <w:t>Zustellung an den Beschwerdeführer über dessen Anwalt, die Vorinstanz, die Vorvor- instanz, das Migrationsamt des Kantons St. Gallen und die Gerichtskasse.</w:t>
      </w:r>
    </w:p>
    <w:p>
      <w:r>
        <w:t>Seite 11</w:t>
      </w:r>
    </w:p>
    <w:p>
      <w:r>
        <w:t>Im Namen der 4. Abteilung des Obergerichts</w:t>
      </w:r>
    </w:p>
    <w:p>
      <w:r>
        <w:t>Der Obergerichtsvizepräsident:</w:t>
      </w:r>
    </w:p>
    <w:p>
      <w:r>
        <w:t>lic. iur. Walter Kobler Der Gerichtsschreiber:</w:t>
      </w:r>
    </w:p>
    <w:p>
      <w:r>
        <w:t>lic. iur. Daniel Hofmann</w:t>
      </w:r>
    </w:p>
    <w:p>
      <w:r>
        <w:t>versandt am: 7.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