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O4V-17-22 vom 18. Januar 2018</w:t>
      </w:r>
    </w:p>
    <w:p>
      <w:r>
        <w:t>AR Gerichte, 2018-01-18, DE</w:t>
      </w:r>
    </w:p>
    <w:p>
      <w:r>
        <w:rPr>
          <w:b/>
        </w:rPr>
        <w:t xml:space="preserve">Quelle: </w:t>
      </w:r>
      <w:r>
        <w:t>https://mcp.opencaselaw.ch/entscheid/ar_gerichte_OG_O4V-17-22</w:t>
      </w:r>
    </w:p>
    <w:p>
      <w:r>
        <w:t>FR: AR_GERICHTE OG O4V-17-22 du 18 janvier 2018</w:t>
      </w:r>
    </w:p>
    <w:p>
      <w:r>
        <w:t>IT: AR_GERICHTE OG O4V-17-22 del 18 gennaio 2018</w:t>
      </w:r>
    </w:p>
    <w:p>
      <w:pPr>
        <w:pStyle w:val="Heading2"/>
      </w:pPr>
      <w:r>
        <w:t>Regeste</w:t>
      </w:r>
    </w:p>
    <w:p>
      <w:r>
        <w:t>Obergericht Appenzell Ausserrhoden 4. Abteilung Urteil vom 18. Januar 2018 Mitwirkende Obergerichtsvizepräsident W. Kobler Oberrichterinnen D. Cadosch Autolitano, M. Gasser Aebischer, Oberrichter E. Graf, P. Louis Obergerichtsschreiber D</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Die sachliche bzw. funktionale Zuständigkeit des Obergerichts ergibt sich aus Art. 54 Abs. 1 des Gesetzes über die Verwaltungsrechtspflege (VRPG, bGS 143.1), wonach das Obergericht zur Behandlung von Beschwerden gegen letztinstanzliche Verfügungen der Verwaltungsbehörden zuständig ist. Auf die Beschwerde ist damit einzutreten.</w:t>
      </w:r>
    </w:p>
    <w:p>
      <w:r>
        <w:rPr>
          <w:b/>
        </w:rPr>
        <w:t>E. 2</w:t>
      </w:r>
    </w:p>
    <w:p>
      <w:r>
        <w:t>Bei der Beurteilung der hier vorliegenden Beschwerde ist die Kognition des Obergerichts gemäss Art. 56 Abs. 1 VRPG darauf beschränkt, den angefochtenen Entscheid hinsichtlich allfälliger Rechtsverletzungen zu überprüfen, wozu auch eine rechtsfehlerhafte Ausübung des Ermessens zählt. Im Weiteren kann beurteilt werden, ob die Vorinstanzen den Sachverhalt unrichtig oder unvollständig festgestellt haben. Die Überprüfung der Angemessenheit ist dem Obergericht jedoch verwehrt (Art. 56 Abs. 1 VRPG e contrario).</w:t>
      </w:r>
    </w:p>
    <w:p>
      <w:r>
        <w:rPr>
          <w:b/>
        </w:rPr>
        <w:t>E. 3</w:t>
      </w:r>
    </w:p>
    <w:p>
      <w:r>
        <w:t>Ausländische Ehegatten von Schweizerinnen und Schweizern haben Anspruch auf Erteilung und Verlängerung der Aufenthaltsbewilligung, wenn sie mit diesen zusammenwohnen (Art. 42 Abs. 1 des Bundesgesetzes über Ausländerinnen und Ausländer, Ausländergesetz, AuG, SR 142.20). Nach Auflösung der Ehe oder Familiengemeinschaft besteht der Anspruch auf Verlängerung der Aufenthaltsbewilligung weiter, wenn die Ehegemeinschaft mindestens drei Jahre bestanden hat und eine erfolgreiche Integration besteht (Art. 50 Abs. 1 lit. a AuG) oder wenn wichtige persönliche Gründe einen weiteren Aufenthalt in der Schweiz erforderlich machen (Art. 50 Abs. 1 lit. b AuG).</w:t>
      </w:r>
    </w:p>
    <w:p>
      <w:r>
        <w:rPr>
          <w:b/>
        </w:rPr>
        <w:t>E. 3.1</w:t>
      </w:r>
    </w:p>
    <w:p>
      <w:r>
        <w:t>Der Anspruch nach Art. 50 Abs. 1 lit. a AuG setzt kumulativ voraus, das die Ehegemeinschaft mindestens drei Jahre bestanden hat und eine erfolgreiche Integration besteht. Erstgenannte Voraussetzung erfüllt die Beschwerdeführerin klar nicht, lebten die Eheleute doch höchstens während 18 Monate in ehelicher Gemeinschaft, was auch in der Beschwerde nicht in Abrede gestellt wird. Daher kann die Beschwerdeführerin aus Art. 50 Abs. 1 lit. a AuG nichts zu ihren Gunsten ableiten, selbst wenn anzunehmen wäre, dass sie sich – wie von ihr geltend gemacht – inzwischen sprachlich, sozial und beruflich erfolgreich integriert hat. Ein Anspruch der Beschwerdeführerin auf Verlängerung ihrer Aufenthaltsbewilligung gestützt auf Art. 50 Abs. 1 lit. a AuG ist folglich, unabhängig von einer erfolgreichen Integration, zu verneinen.</w:t>
      </w:r>
    </w:p>
    <w:p>
      <w:r>
        <w:t>Seite 7</w:t>
      </w:r>
    </w:p>
    <w:p>
      <w:r>
        <w:rPr>
          <w:b/>
        </w:rPr>
        <w:t>E. 3.2</w:t>
      </w:r>
    </w:p>
    <w:p>
      <w:r>
        <w:t>Im Weiteren stellt sich die Frage, ob wichtige persönliche Gründe im Sinne von Art. 50 Abs. 1 lit. b AuG den weiteren Aufenthalt der Beschwerdeführerin in der Schweiz erforderlich machen. Solche Gründe können namentlich vorliegen, wenn die betreffende Ehegattin Opfer ehelicher Gewalt wurde oder die Ehe nicht aus freiem Willen geschlossen wurde oder die soziale Wiedereingliederung im Herkunftsland stark gefährdet erscheint (Art. 50 Abs. 2 AuG). Ebenfalls können die in Art. 31 Abs. 1 der Verordnung über Zulassung, Aufenthalt und Erwerbstätigkeit (VZAE, SR 142.201) genannten Kriterien für die Beurteilung eines Härtefalls hinzugezogen werden, auch wenn sie hierfür – einzeln betrachtet – nicht unbedingt ausreichen müssen (BGE 137 II 345 E. 3.2.3). Art. 31 Abs. 1 VZAE zählt folgende Kriterien auf: die Integration (lit. a), die Respektierung der Rechtsordnung (lit. b), die Familienverhältnisse (lit. c), die finanziellen Verhältnisse sowie der Wille zur Teilhabe am Wirtschaftsleben und zum Erwerb von Bildung (lit. d), die Dauer der Anwesenheit (lit. e), der Gesundheitszustand (lit. f) und die Möglichkeiten der Wiedereingliederung im Herkunftsstaat (lit. g). Damit sollen schwerwiegende Härtefälle vermieden werden, wobei den Behörden ein gewisser Ermessenspielraum in humanitärer Hinsicht zukommt (BGE 136 II 4 E. 5.3). Hat der Aufenthalt nur kürzere Zeit gedauert und wurden keine engen Beziehungen zur Schweiz geknüpft, lässt sich ein Anspruch auf weiteren Verbleib nicht begründen, wenn die erneute Integration im Herkunftsland keine besonderen Probleme darstellt (Botschaft AuG, BBl 2002 3709 Ziff. 1.3.7.6 S. 3754). Entscheidend ist, ob die persönliche, berufliche und familiäre Wiedereingliederung als stark gefährdet zu gelten hat und nicht, ob eine Leben in der Schweiz einfacher wäre (Urteil des Bundesgerichts 2C_216/2009 vom 20. August 2009 E. 3). Ein persönlicher, nachehelicher Härtefall setzt aufgrund der konkreten Umstände eine erhebliche Intensität der Konsequenzen für das Privat- und Familienleben der ausländischen Person voraus, die mit ihrer Lebenssituation nach dem Dahinfallen der Anwesenheitsberechtigung verbunden sind (BGE 137 II 345 E. 3.2.3).</w:t>
      </w:r>
    </w:p>
    <w:p>
      <w:r>
        <w:rPr>
          <w:b/>
        </w:rPr>
        <w:t>E. 3.3</w:t>
      </w:r>
    </w:p>
    <w:p>
      <w:r>
        <w:t>Anhaltspunkte, wonach die Beschwerdeführerin Opfer ehelicher Gewalt oder die Ehe nicht aus freiem Willen geschlossen wurde, liegen keine vor. Die Beschwerdeführerin ist im Alter von 18 Jahren in die Schweiz gekommen, lebt hier erst seit rund viereinhalb Jahren, hat in der Schweiz keine Verwandten und ist kinderlos. Vertiefte persönliche Beziehungen zur hiesigen Bevölkerung werden von der Beschwerdeführerin nicht geltend gemacht. Sie ist damit in persönlicher und sozialer Hinsicht nicht besonders in der Schweiz verwurzelt und verfügt hier über keine durch das Recht auf Privat- und Familienleben nach Art. 8 Abs. 1 der Europäischen Menschenrechtskonvention (EMRK, SR 0.101) und nach Art. 13 Abs. 1 der Schweizerischen Bundesverfassung (BV, SR 101) geschützten Beziehungen. Die Beschwerdeführerin wurde in ihrer Heimat sozialisiert und hat in Venezuela ihre persönlichkeitsprägenden Jugendjahre verbracht. Die heimatliche Sprache und Gebräuche Seite 8 sind ihr nach wie vor bestens bekannt. Ihre Familie lebt noch in Venezuela, womit sie mit deren Unterstützung rechnen darf. Dies dürfte es ihr erlauben, ihr dortiges soziales Beziehungsnetz und vorheriges Leben wieder aufzunehmen. Die soziale Wiedereingliederung im Herkunftsland erscheint damit nicht als „stark“ gefährdet, was einem weiteren Aufenthalt in der Schweiz klar entgegensteht. Der blosse Umstand, dass die Sicherheits- und Wirtschaftslage hier besser ist als im Heimatstaat, bildet praxisgemäss keinen entsprechenden wichtigen persönlichen Grund, auch wenn die betroffene Person in der Schweiz integriert erscheint, eine Landessprache mehr oder weniger konkret beherrscht, eine Arbeitsstelle hat, für ihren Lebensunterhalt selber aufzukommen vermag und sie auch nicht straffällig geworden ist (Urteile des Bundesgerichts 2C_661/2016 vom 9. November 2016 E. 3.3 und 2C_578/2011 vom 1. Dezember 2011 E. 3.3). Die Beschwerdeführerin besitzt somit auch gestützt auf Art. 50 Abs. 1 lit. b AuG keinen Anspruch auf Verlängerung der Aufenthaltsbewilligung.</w:t>
      </w:r>
    </w:p>
    <w:p>
      <w:r>
        <w:rPr>
          <w:b/>
        </w:rPr>
        <w:t>E. 4</w:t>
      </w:r>
    </w:p>
    <w:p>
      <w:r>
        <w:t>In denjenigen Fällen, in denen es kein Recht auf Verlängerung der Aufenthaltsbewilligung gibt, räumt der Gesetzgeber den zuständigen Behörden einen Ermessenspielraum ein, wobei sie jedoch in ihrer in Entscheidung nicht völlig frei sind. Zu den Hauptgrundsätzen die bei der Ausübung des freien Ermessens zu beachten sind, gehören das Verbot der Willkür und der rechtsungleichen Behandlung sowie die Grundsätze der Verhältnismässigkeit und von Treu und Glauben (MARC SPESCHA, in: Spescha/Thür/Zünd/Bolzli/Hruschka [Hrsg.], Kommentar Migrationsrecht, 4. Aufl. 2015, N 1 zu Art. 96 AuG). Art. 96 Abs. 1 AuG hält die Grundlagen der Ermessensausübung fest, wonach die zuständigen Behörden bei der Ermessensausübung die öffentlichen Interessen und die persönlichen Verhältnisse sowie den Grad der Integration der Ausländerinnen und Ausländer zu berücksichtigen haben.</w:t>
      </w:r>
    </w:p>
    <w:p>
      <w:r>
        <w:rPr>
          <w:b/>
        </w:rPr>
        <w:t>E. 4.1</w:t>
      </w:r>
    </w:p>
    <w:p>
      <w:r>
        <w:t>Das öffentliche Interesse an der Beendigung des Aufenthalts der Beschwerdeführerin liegt in der von der Schweiz betriebenen restriktiven Einwanderungspolitik und dem Umstand, dass der Aufenthaltszweck dahingefallen ist, bevor die Beschwerdeführerin eine gefestigte Aufenthaltsberechtigung erworben hat (Urteil des Bundesgerichts 2C_1179/2013 vom 30. Dezember 2013 E. 3.2.1). Dieses öffentliche Interesse kann nur durch entsprechend gewichtige private Interessen der Beschwerdeführerin aufgewogen werden. Wie bereits erläutert, wuchs die Beschwerdeführerin in Venezuela auf, und sie lebte dort bis zum 18. September 2013. Die kinderlose Beschwerdeführerin hält sich damit erst seit relativ kurzer Zeit in der Schweiz auf, wobei zudem ein Aufenthaltsjahr auf die aufschiebende Wirkung der Rechtsmittel zurückzuführen ist. Zuvor hat sie ihr ganzes Leben in Venezuela verbracht, weshalb keineswegs von einem langen und lebensprägenden Aufenthalt der Beschwerdeführerin in der Schweiz gesprochen werden kann. Zwar kann nicht in Abrede gestellt werden, dass sie sich um Integration in die schweizerischen Verhältnisse bemüht, Seite 9 doch ist ihre soziale und berufliche Integration in der Schweiz nicht so weit fortgeschritten, dass ihre Reintegration in Venezuela unsicher wäre. Bei dieser kann ihr zudem der Ausbildungsaufenthalt in der Schweiz durchaus dienlich sein. Soweit die Beschwerdeführerin geltend macht, dass sie als Venezolanerin nicht ins Bild der klassischen Migration passe und als Ausnahme zu behandeln sei, gilt es festzuhalten, dass das Ausländergesetz keine nationalen Differenzierungen vornimmt und eine Sonderbehandlung der Beschwerdeführerin aufgrund ihrer südamerikanischen Herkunft nicht mit dem Verbot der rechtsungleichen Behandlung vereinbar wäre. Daran vermag auch der Hinweis auf Art. 30 Abs. 1 lit. g AuG (kultureller Austausch) nichts zu ändern, zumal sich diese Bestimmung auf die Zulassungsvoraussetzungen zur Ausübung einer Erwerbstätigkeit bezieht. Auch wenn die Wiedereingliederung der Beschwerdeführerin im Heimatland mit Schwierigkeiten verbunden ist, kann deshalb die Schlussfolgerung gezogen werden, dass ihrer Rückkehr keine unüberwindlichen Hindernisse entgegenstehen. Dies gilt umso mehr, als dass sie mit 22 Jahren noch sehr jung ist und in Venezuela ihre Familie lebt.</w:t>
      </w:r>
    </w:p>
    <w:p>
      <w:r>
        <w:rPr>
          <w:b/>
        </w:rPr>
        <w:t>E. 4.2</w:t>
      </w:r>
    </w:p>
    <w:p>
      <w:r>
        <w:t>Der generelle Hinweis auf die politischen Verhältnisse in Venezuela stellt keinen Grund dar, welche eine Rückreise der Beschwerdeführerin in ihr Heimatland unzumutbar erscheinen lassen. Auch wenn das politische Klima in Venezuela weiterhin angespannt ist, hat sich die Sicherheitslage seit dem Entscheid der Vorinstanz nicht verschlechtert (vgl. die aktuellen Reisehinweise für Venezuela des Eidgenössischen Departements für auswärtige Angelegenheiten [EDA] auf www.eda.admin.ch). Zudem wurde nach wie vor keine Reisewarnung für Venezuela ausgesprochen. Die Hinweise der Beschwerdeführerin auf die politischen und hygienischen Zustände sind vorab allgemeiner Natur (Amnesty International) und beziehen sich nicht auf ihre konkrete Situation. Sie scheint dabei zu verkennen, dass die allgemeine, in einem spezifischen Land vorherrschende soziale, humanitäre oder wirtschaftliche Situation ohne Hinweise auf eine konkrete Gefährdung der Einzelperson nach der Rechtsprechung des europäischen Gerichtshofs keinen Grund für die Eröffnung des Anwendungsbereichs des konventions- und verfassungsrechtlich garantierten Verbots unmenschlicher Behandlung nach Art. 3 EMRK bildet (Urteil EGMR J.K. et al. gegen Schweden vom 4. Juni 2015 [Nr. 59166/12], § 51). Wie bereits angetönt, stellt zudem der blosse Umstand, dass die Sicherheits- und Wirtschaftslage in der Schweiz besser als im Heimatsstaat ist, keinen wichtigen persönlichen Grund dar. Im Übrigen macht die Beschwerdeführerin nicht geltend und ergibt sich auch nicht aus den Akten, dass sie unter gesundheitlichen Einschränkungen leidet oder in Venezuela politisch gefährdet ist bzw. gar verfolgt wird. Damit stösst sie auch mit ihrem Verweis auf Art. 7 und 10 EMRK sowie Art. 12 UNO Pakt I (SR 103.1) ins Leere. Der Widerruf der Aufenthaltsbewilligung Seite 10 stellt demzufolge für die Beschwerdeführerin keine unzumutbare Härte dar und erweist sich als verhältnismässig.</w:t>
      </w:r>
    </w:p>
    <w:p>
      <w:r>
        <w:rPr>
          <w:b/>
        </w:rPr>
        <w:t>E. 4.3</w:t>
      </w:r>
    </w:p>
    <w:p>
      <w:r>
        <w:t>In Anbetracht dieser Umstände ist nicht zu beanstanden, dass die Vorinstanzen das öffentliche Interesse am Widerruf der Aufenthaltsbewilligung höher als die privaten Interessen der Beschwerdeführerin gewichtet haben. Eine rechtsfehlerhafte Ausübung des vorinstanzlichen Ermessens ist damit keines ersichtlich.</w:t>
      </w:r>
    </w:p>
    <w:p>
      <w:r>
        <w:rPr>
          <w:b/>
        </w:rPr>
        <w:t>E. 5</w:t>
      </w:r>
    </w:p>
    <w:p>
      <w:r>
        <w:t>Zusammenfassend ergibt sich damit, dass der Widerruf der Aufenthaltsbewilligung der Beschwerdeführerin und ihre Wegweisung aus der Schweiz zu Recht erfolgten. Die Beschwerde ist damit abzuweisen. Da die Vorinstanzen bei der Ansetzung der Ausreisefrist ein allfälliges Rechtsmittelverfahren ausser Acht gelassen haben, ist der Beschwerdeführerin eine neue Frist für die Ausreise aus der Schweiz anzusetzen. Im vorliegenden Fall erscheint eine Ausreisefrist von 3 Monaten ab Rechtskraft dieses Urteils als gerechtfertigt.</w:t>
      </w:r>
    </w:p>
    <w:p>
      <w:r>
        <w:rPr>
          <w:b/>
        </w:rPr>
        <w:t>E. 6</w:t>
      </w:r>
    </w:p>
    <w:p>
      <w:r>
        <w:t>Nach Art. 19 Abs. 3 in Verbindung mit Art. 53 Abs. 1 VRPG ist im Beschwerdeverfahren vor Obergericht gebühren- und kostenpflichtig, wer ganz oder teilweise unterliegt oder auf dessen Rechtsmittel nicht eingetreten wird. Der Beschwerdeführerin ist ausgangsgemäss eine Entscheidgebühr aufzuerlegen, wobei eine Gebühr von Fr. 1‘300.00 als angemessen erscheint (Art. 4a des Gesetzes über die Gebühren in Verwaltungssachen (bGS 233.2). Diese ist im Rahmen der unentgeltlichen Prozessführung der Staatskasse zu belasten, unter Vorbehalt der Rückerstattungspflicht nach Art. 25 Abs. 3 VRPG.</w:t>
      </w:r>
    </w:p>
    <w:p>
      <w:r>
        <w:rPr>
          <w:b/>
        </w:rPr>
        <w:t>E. 7</w:t>
      </w:r>
    </w:p>
    <w:p>
      <w:r>
        <w:t>Nach Art. 53 Abs. 3 VRPG hat die obsiegende Partei in der Regel Anspruch auf eine Entschädigung für ihre notwendigen Kosten und Auslagen. Da die Beschwerde abgewiesen wird und die Beschwerdeführerin ausdrücklich keine unentgeltliche Rechtsverbeiständung beantragen liess, ist das Begehren der Beschwerdeführerin um Ausrichtung einer Parteientschädigung abzuweisen.</w:t>
      </w:r>
    </w:p>
    <w:p>
      <w:r>
        <w:t>Seite 11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