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O3V-19-47 vom 21. Januar 2020</w:t>
      </w:r>
    </w:p>
    <w:p>
      <w:r>
        <w:t>AR Gerichte, 2020-01-21, DE</w:t>
      </w:r>
    </w:p>
    <w:p>
      <w:r>
        <w:rPr>
          <w:b/>
        </w:rPr>
        <w:t xml:space="preserve">Quelle: </w:t>
      </w:r>
      <w:r>
        <w:t>https://mcp.opencaselaw.ch/entscheid/ar_gerichte_OG_O3V-19-47</w:t>
      </w:r>
    </w:p>
    <w:p>
      <w:r>
        <w:t>FR: AR_GERICHTE OG O3V-19-47 du 21 janvier 2020</w:t>
      </w:r>
    </w:p>
    <w:p>
      <w:r>
        <w:t>IT: AR_GERICHTE OG O3V-19-47 del 21 gennaio 2020</w:t>
      </w:r>
    </w:p>
    <w:p>
      <w:pPr>
        <w:pStyle w:val="Heading2"/>
      </w:pPr>
      <w:r>
        <w:t>Regeste</w:t>
      </w:r>
    </w:p>
    <w:p>
      <w:r>
        <w:t>Obergericht Appenzell Ausserrhoden 3. Abteilung Urteil vom 21. Januar 2020 Mitwirkende Obergerichtspräsident E. Zingg Oberrichterin D. Sieber Oberrichter H.P. Fischer, Dr. F. Windisch, M. Schneider Obergerichtsschreiberin A. Mauerhofer V</w:t>
      </w:r>
    </w:p>
    <w:p>
      <w:pPr>
        <w:pStyle w:val="Heading2"/>
      </w:pPr>
      <w:r>
        <w:t>Erwägungen</w:t>
      </w:r>
    </w:p>
    <w:p>
      <w:r>
        <w:rPr>
          <w:b/>
        </w:rPr>
        <w:t>E. 1</w:t>
      </w:r>
    </w:p>
    <w:p>
      <w:r>
        <w:t>Ist ein Rechtsspruch eines Entscheides unklar, so wird er von der Behörde, die ihn gefällt hat, von Amtes wegen oder auf Gesuch einer Partei erläutert (Art. 28 Abs. 2 des Gesetzes über die Verwaltungsrechtspflege [VRPG, bGS 143.1]). Da das eingereichte Erläuterungs- begehren ein Urteil der dritten Abteilung des Obergerichts betrifft, ist ebendiese auch zur Behandlung des Erläuterungsbegehrens zuständig (Art. 28 Abs. 2 i.V.m. Art. 19 Abs. 1 Ju- stizgesetz [JG, bGS 145.31]).</w:t>
      </w:r>
    </w:p>
    <w:p>
      <w:r>
        <w:rPr>
          <w:b/>
        </w:rPr>
        <w:t>E. 2</w:t>
      </w:r>
    </w:p>
    <w:p>
      <w:r>
        <w:t>Auf das Erläuterungsbegehren ist einzutreten, nachdem A.__________ nachvollziehbarer- weise ein erhebliches Interesse daran hat, dass das Urteil vom 21. Mai 2019 im Verfahren O3V 17 23 korrekt umgesetzt wird. Ausserdem handelt es sich um eine grundsätzliche Fra- ge, deren Klärung letztlich im Interesse der Allgemeinheit liegt, so dass in künftigen Fällen auf das vorliegende Urteil des Obergerichts verwiesen werden kann, sollte sich die gleiche Frage in weiteren Fällen stellen.</w:t>
      </w:r>
    </w:p>
    <w:p>
      <w:r>
        <w:rPr>
          <w:b/>
        </w:rPr>
        <w:t>E. 3</w:t>
      </w:r>
    </w:p>
    <w:p>
      <w:r>
        <w:t>Rechtsmittel:</w:t>
      </w:r>
    </w:p>
    <w:p>
      <w:r>
        <w:t>Gegen diesen Entscheid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4</w:t>
      </w:r>
    </w:p>
    <w:p>
      <w:r>
        <w:t>Zustellung an den Beschwerdeführer über dessen Anwältin, die Vorinstanz und das Bundes- amt für Sozialversicherungen.</w:t>
      </w:r>
    </w:p>
    <w:p>
      <w:r>
        <w:t>Im Namen der 3. Abteilung des Obergerichts</w:t>
      </w:r>
    </w:p>
    <w:p>
      <w:r>
        <w:t>Der Obergerichtspräsident:</w:t>
      </w:r>
    </w:p>
    <w:p>
      <w:r>
        <w:t>lic. iur. Ernst Zingg Die Gerichtsschreiberin:</w:t>
      </w:r>
    </w:p>
    <w:p>
      <w:r>
        <w:t>lic. iur. Annika Mauerhofer</w:t>
      </w:r>
    </w:p>
    <w:p>
      <w:r>
        <w:t>Seite 7 versandt am: 14.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