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O3V-19-25 vom 17. März 2020</w:t>
      </w:r>
    </w:p>
    <w:p>
      <w:r>
        <w:t>AR Gerichte, 2020-03-17, DE</w:t>
      </w:r>
    </w:p>
    <w:p>
      <w:r>
        <w:rPr>
          <w:b/>
        </w:rPr>
        <w:t xml:space="preserve">Quelle: </w:t>
      </w:r>
      <w:r>
        <w:t>https://mcp.opencaselaw.ch/entscheid/ar_gerichte_OG_O3V-19-25</w:t>
      </w:r>
    </w:p>
    <w:p>
      <w:r>
        <w:t>FR: AR_GERICHTE OG O3V-19-25 du 17 mars 2020</w:t>
      </w:r>
    </w:p>
    <w:p>
      <w:r>
        <w:t>IT: AR_GERICHTE OG O3V-19-25 del 17 marzo 2020</w:t>
      </w:r>
    </w:p>
    <w:p>
      <w:pPr>
        <w:pStyle w:val="Heading2"/>
      </w:pPr>
      <w:r>
        <w:t>Regeste</w:t>
      </w:r>
    </w:p>
    <w:p>
      <w:r>
        <w:t>Obergericht Appenzell Ausserrhoden 3. Abteilung Urteil vom 17. März 2020 Mitwirkende Obergerichtsvizepräsident W. Kobler Oberrichterin D. Sieber Oberrichter E. Graf, H.P. Fischer und M. Müller Obergerichtsschreiberin A. Mauerhofer Verfahr</w:t>
      </w:r>
    </w:p>
    <w:p>
      <w:pPr>
        <w:pStyle w:val="Heading2"/>
      </w:pPr>
      <w:r>
        <w:t>Erwägungen</w:t>
      </w:r>
    </w:p>
    <w:p>
      <w:r>
        <w:rPr>
          <w:b/>
        </w:rPr>
        <w:t>E. 1</w:t>
      </w:r>
    </w:p>
    <w:p>
      <w:r>
        <w:t>Formelles</w:t>
      </w:r>
    </w:p>
    <w:p>
      <w:r>
        <w:t>a. 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w:t>
      </w:r>
    </w:p>
    <w:p>
      <w:r>
        <w:t>b. Das Gesamtgericht hat Beschwerden in Sozialversicherungssachen mit medizinischen Fra- gestellungen (unter Vorbehalt der hier nicht betroffenen Zuständigkeiten des Einzelrichters) der 3. Abteilung zur Beurteilung zugewiesen (so publiziert im aktuellen Staatskalender Ap- penzell Ausserrhoden, abrufbar unter https://staatskalender.ar.ch/organizations/pdf, Ziff. 2.6.1.2), weshalb diese zur Beurteilung der Beschwerde zuständig ist.</w:t>
      </w:r>
    </w:p>
    <w:p>
      <w:r>
        <w:t>c. Die von Amtes wegen vorzunehmende Prüfung der weiteren Prozessvoraussetzungen er- gibt, dass diese sowohl hinsichtlich der Beschwerdeberechtigung auf Seiten des Beschwer- deführers als auch hinsichtlich der Form- und Fristerfordernisse mit Bezug auf die Be- schwerdeschrift erfüllt sind (insbesondere Art. 1 Abs. 1 IVG i.V.m. Art. 59, Art. 60 Abs. 1 und Art. 61 lit. b ATSG).</w:t>
      </w:r>
    </w:p>
    <w:p>
      <w:r>
        <w:t>d. Auf die Beschwerde ist somit einzutreten.</w:t>
      </w:r>
    </w:p>
    <w:p>
      <w:r>
        <w:t>Seite 8</w:t>
      </w:r>
    </w:p>
    <w:p>
      <w:r>
        <w:rPr>
          <w:b/>
        </w:rPr>
        <w:t>E. 2</w:t>
      </w:r>
    </w:p>
    <w:p>
      <w:r>
        <w:t>Materielles</w:t>
      </w:r>
    </w:p>
    <w:p>
      <w:r>
        <w:rPr>
          <w:b/>
        </w:rPr>
        <w:t>E. 2.1</w:t>
      </w:r>
    </w:p>
    <w:p>
      <w:r>
        <w:t>Zum Vorwurf der Gehörsverletzung</w:t>
      </w:r>
    </w:p>
    <w:p>
      <w:r>
        <w:t>Der Beschwerdeführer macht vorweg geltend, die Vorinstanz habe sein rechtliches Gehör verletzt, indem sie die nach seinem Einwand eingeholten medizinischen Unterlagen gar nicht geprüft bzw. jedenfalls nicht dazu Stellung genommen habe. Insbesondere fehle auch eine konkrete Auseinandersetzung mit den von Dr. C. ______ in dessen Schreiben vom 14. November 2018 angeführten Argumenten.</w:t>
      </w:r>
    </w:p>
    <w:p>
      <w:r>
        <w:t>a. Der Anspruch auf rechtliches Gehör gründet auf Art. 29 Abs. 2 der Schweizerischen Bun- desverfassung (BV, SR 101). Im Bereich des Sozialversicherungsrechts verweist Art. 42 ATSG zusätzlich auf diesen bereits in der Verfassung vorgesehenen Anspruch. Es handelt sich dabei um einen Anspruch formeller Natur. Seine Verletzung führt ungeachtet der mate- riellen Begründetheit eines Rechtsmittels zur Gutheissung der Beschwerde und zur Aufhe- bung des angefochtenen Entscheids.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 ner Rückweisung der Sache ist aber bei einer schwerwiegenderen Verletzung des rechtli- chen Gehörs nur dann abzusehen, wenn und soweit die Rückweisung zu einem formalisti- schen Leerlauf und damit zu unnötigen Verzögerungen führen würde, die mit dem Interesse der betroffenen Partei an einer beförderlichen Beurteilung der Sache nicht zu vereinbaren wären (vgl. dazu anstelle vieler: Urteil des Bundesgerichts 8C_446/2018 vom 18. Dezem- ber 2018, E. 4, m.w.H.).</w:t>
      </w:r>
    </w:p>
    <w:p>
      <w:r>
        <w:t>b. Gemäss Art. 57a Abs. 1 IVG teilt die IV-Stelle der versicherten Person den vorgesehenen Endentscheid über ein Leistungsbegehren mittels Vorbescheid mit; die versicherte Person hat Anspruch auf rechtliches Gehör im Sinne von Art. 42 ATSG. Die Parteien können innert Frist Einwände zum Vorbescheid vorbringen (vgl. Art. 73ter Abs. 1 der Verordnung über die Invalidenversicherung [IVV, SR 831.201]). Das Vorbescheidverfahren geht über den verfas- sungsrechtlichen Mindestanspruch auf rechtliches Gehör hinaus, indem es Gelegenheit gibt, sich nicht nur zur Sache, sondern auch zum vorgesehenen Endentscheid zu äussern (vgl. dazu auch BGE 134 V 97). Der Sinn und Zweck des Vorbescheidverfahrens besteht darin, eine unkomplizierte Diskussion des Sachverhalts zu ermöglichen und dadurch die Akzeptanz des Entscheids bei den Versicherten zu verbessern. Ein bloss pauschaler Hin- weis in der Verfügung, es seien keine weiteren relevanten Unterlagen eingegangen, spricht für eine undifferenzierte Behandlung der Vorbringen in standardisierter Form ohne sich damit auch materiell auseinandergesetzt zu haben. Die IV-Stelle darf sich aber gerade nicht Seite 9 darauf beschränken, die von der versicherten Person vorgebrachten Einwände lediglich zur Kenntnis zu nehmen. Sie hat ihre Überlegungen dem Betroffenen gegenüber darzulegen und sich dabei insbesondere mit den entscheidwesentlichen Einwänden auseinanderzu- setzen, was bedeutet, dass zumindest die Gründe anzugeben sind, weshalb sie gewisse Gesichtspunkte nicht berücksichtigen kann (Urteil des Bundesgerichts 8C_668/2018 vom 13. Februar 2019, E. 4.1 f.)</w:t>
      </w:r>
    </w:p>
    <w:p>
      <w:r>
        <w:t>c. Der Beschwerdeführer bemängelt nicht, dass ihm eine Stellungnahme verwehrt worden wä- re, aber er weist zu Recht darauf hin, dass sich weder die Vorinstanz noch der RAD im Rahmen des Vorbescheidverfahrens zu den von seinem Psychiater ausführlich dargelegten Argumenten konkret geäussert haben. Im Schreiben vom 14. November 2018 (IV-act. 83) nahm Dr. C. ______ eingehend zum RAD-Bericht vom 16. August 2018 Stellung und begründete ausführlich, weshalb er den einzelnen Aussagen von Dr. G. ______ nicht fol- gen könne (siehe dazu auch nachfolgend, E. 2.2). Dr. G. ______ hielt es, nachdem ihr dieses Schreiben vorgelegt worden war, im RAD-Bericht vom 21. Dezember 2018 für nötig, das medizinische Dossier noch zu ergänzen (IV-act. 84). Dementsprechend holte die Vorin- stanz im Anschluss weitere medizinische Unterlagen ein und legte diese dem RAD erneut zur Beurteilung vor, welcher daraufhin den Bericht vom 11. März 2019 (IV-act. 88) verfasste. Die Vorinstanz erliess in der Folge die angefochtene leistungsabweisende Verfügung unter ausdrücklichem Verweis auf diesen RAD-Bericht (vgl. IV-act. 91, S. 2: „Aufgrund der medizinischen Einwände erfolgte eine Stellungnahme durch den Regional Ärztlichen Dienst Ostschweiz [RAD] am 21.12.2018. Dabei wurde um Ergänzung des Dos- siers mittels Anforderung der Unterlagen hinsichtlich der Anpassung der Medikation an die Ergebnisse einer genetischen Untersuchung, sowie die Einholung eines Verlaufsberichts bei Herr Dr. C. ______ im Januar 2019 ersucht. Die Unterlagen haben wir am 15.02.2019 erhalten. Daraufhin hat am 11.03.2019 eine weitere Stellungnahme durch den RAD, Dr. G. ______, stattgefunden, worin diese zu den Einwendungen Stellung nimmt“). Dr. G. ______ vermerkte allerdings im Bericht vom 11. März 2019 lediglich pauschal, die eingeholten Dokumente enthielten keine neuen medizinischen Sachverhalte, die die Einschätzung des RAD verändern würden, ohne sich aber auch nur ansatzweise konkret mit den neuen Unterlagen oder den medizinischen Argumenten von Dr. C. ______ auseinanderzusetzen (IV-act. 88). Auch in der weiteren Begründung der angefochtenen Verfügung fehlt eine konkrete Stellungnahme dazu, obwohl die Ausführungen von Dr. C. ______ sowohl im Schreiben vom 14. November 2018 (IV-act. 83) als auch in dem vom RAD explizit angeforderten späteren Verlaufsbericht vom 10. Februar 2019 (IV-act. 87, S. 1 ff.) durchaus schlüssig und nachvollziehbar erscheinen.</w:t>
      </w:r>
    </w:p>
    <w:p>
      <w:r>
        <w:t>Seite 10 d. Dem Gehörsanspruch wird nicht Genüge getan, wenn die IV-Stelle eine Stellungnahme der Partei lediglich pro forma zur Kenntnis nimmt. Vielmehr ist sie, dies schon im Rahmen der sie treffenden allgemeinen Untersuchungspflicht, verpflichtet, sich mit schlüssig begründe- ten Vorbringen einer Partei inhaltlich auseinanderzusetzen. Das schliesst aus, dass die IV- Stelle in der Verfügung über den Leistungsanspruch über nicht zum Vornherein klar unbe- rechtigte Einwände einfach stillschweigend hinweggehen kann. Unter den gegebenen Um- ständen wäre eine zumindest summarische Auseinandersetzung mit den vom Beschwerde- führer mit seinem Einwand vorgebrachten Argumenten angezeigt gewesen, insbesondere, nachdem der RAD noch im Bericht vom 21. Dezember 2018 selber die Ergänzung des me- dizinischen Dossiers gefordert und sogar Empfehlungen für einen geeigneten Gutachter im Falle weiterer Abklärungen abgegeben bzw. den Vorschlag einer bidisziplinären Untersu- chung durch den RAD in den Raum gestellt hat. Bei dieser Ausgangslage wäre zu erwarten gewesen, dass die Vorinstanz spätestens in der angefochtenen Verfügung die konkreten Gründe angibt, weshalb sie den vom Versicherten vorgetragenen Argumenten nicht folgt bzw. weshalb diese aus Sicht der IV-Stelle keinen Einfluss auf die Beurteilung der Leis- tungspflicht haben (vgl. dazu auch BGE 124 V 180). Unter den gegebenen Umständen ist somit die vom Beschwerdeführer gerügte Verletzung des rechtlichen Gehörs zu bejahen.</w:t>
      </w:r>
    </w:p>
    <w:p>
      <w:r>
        <w:t>e. Die Verletzung des rechtlichen Gehörs führt im konkreten Fall zur Aufhebung der angefoch- tenen Verfügung und Rückweisung der Angelegenheit an die Vorinstanz. Eine unnötige Verzögerung ergibt sich daraus nicht, nachdem gestützt auf die vorhandenen Unterlagen ohnehin noch nicht direkt über den Rentenanspruch entschieden werden könnte (siehe da- zu E. 2.3 nachfolgend).</w:t>
      </w:r>
    </w:p>
    <w:p>
      <w:r>
        <w:rPr>
          <w:b/>
        </w:rPr>
        <w:t>E. 2.2</w:t>
      </w:r>
    </w:p>
    <w:p>
      <w:r>
        <w:t>Zum Beweiswert der RAD-Berichte</w:t>
      </w:r>
    </w:p>
    <w:p>
      <w:r>
        <w:t>Der Beschwerdeführer macht geltend, die in den Akten enthaltenen RAD-Einschätzungen, auf welche die Vorinstanz ihre abweisende Leistungsverfügung stützt, seien ohnehin gar nicht beweiskräftig und es könne, da die Berichte widersprüchlich und nicht nachvollziehbar seien, auch nicht darauf abgestellt werden. Die Vorinstanz bringt dagegen vor, es sei abso- lut legitim, dass sie sich auf die Beurteilung der RAD-Ärztin abstütze, die medizinische Ak- tenlage sei eindeutig, so dass auch keine weiteren Untersuchungen mehr angezeigt seien.</w:t>
      </w:r>
    </w:p>
    <w:p>
      <w:r>
        <w:t>a. Bei der Beurteilung der Arbeitsunfähigkeit stützt sich die Verwaltung und im Beschwerdefall das Gericht auf Unterlagen, welche von ärztlichen und gegebenenfalls auch anderen Fach- leuten zur Verfügung zu stellen sind. Aufgabe des Arztes oder der Ärztin ist es, den Ge- sundheitszustand zu beurteilen und dazu Stellung zu nehmen, in welchem Umfang und be- züglich welcher Tätigkeiten die versicherte Person arbeitsunfähig ist. Im Weiteren sind die Seite 11 ärztlichen Auskünfte eine wichtige Grundlage für die Beurteilung der Frage, welche Arbeits- leistungen der Person noch zugemutet werden können. Die Annahme eines invalidisieren- den Gesundheitsschadens setzt grundsätzlich eine fachärztliche, lege artis auf die Vorga- ben eines anerkannten Klassifikationssystems abgestützte Diagnose voraus (Urteil des Bundesgerichts 9C_788/2019 vom 30. Januar 2020, E. 3.1.1; BGE 136 V 279, E. 3.2.1). Hinsichtlich des Beweiswertes eines Arztberichtes ist entscheidend, ob dieser für die streiti- gen Belange umfassend ist, auf allseitigen Untersuchungen beruht, auch die geklagten Be- schwerden berücksichtigt, in Kenntnis der Vorakten (Anamnese) abgegeben worden ist, in der Beurteilung der medizinischen Zusammenhänge sowie der medizinischen Situation ein- leuchtet und ob die Schlussfolgerungen der Experten begründet sind (anstelle vieler: Urteil des Bundesgerichts 9C_601/2019 vom 7. Januar 2020, E. 3.1, m.w.H.).</w:t>
      </w:r>
    </w:p>
    <w:p>
      <w:r>
        <w:t>b. Die regionalärztlichen Dienste (RAD) stehen den IV-Stellen zur Beurteilung der medizini- schen Voraussetzungen des Leistungsanspruchs zur Verfügung. Sie setzen die für die In- validenversicherung nach Art. 6 ATSG massgebende funktionelle Leistungsfähigkeit der Versicherten fest, eine zumutbare Erwerbstätigkeit oder Tätigkeit im Aufgabenbereich aus- zuüben und sind in ihrem medizinischen Sachentscheid im Einzelfall unabhängig (Art. 59 Abs. 2bis IVG). Die regionalen ärztlichen Dienste beurteilen somit die medizinischen Voraus- setzungen des Leistungsanspruchs (Urteil des Bundesgerichts 9C_858/2014 vom 3. Sep- tember 2015, E. 3.3). Der RAD-Bericht ist aber, anders als eine externe Expertise oder ein externes Gutachten, grundsätzlich ein rein versicherungsinternes Dokument. Auch wenn dem RAD unstrittig in den meisten Fällen eine grosse Bedeutung zukommt für die Beur- teilung der Anspruchsvoraussetzungen aus medizinischer Sicht, liegt der abschliessende Entscheid darüber bei der IV-Stelle, wie sich bereits aus Satz 1 von Art. 59 Abs. 2bis IVG ergibt. Zu den Aufgaben des RAD gehört insbesondere, aus medizinischer Sicht - gewis- sermassen als Hilfestellung für die medizinischen Laien in der Verwaltung und auch an den Gerichten, die im Streitfall über den Leistungsanspruch zu entscheiden haben - den medizi- nischen Sachverhalt zusammenzufassen und zu würdigen sowie sich zur Notwendigkeit zu- sätzlicher Abklärungen zu äussern (vgl. Urteil des Bundesgerichts 9C_858/2014 vom</w:t>
      </w:r>
    </w:p>
    <w:p>
      <w:r>
        <w:rPr>
          <w:b/>
        </w:rPr>
        <w:t>E. 2.3</w:t>
      </w:r>
    </w:p>
    <w:p>
      <w:r>
        <w:t>Zur Notwendigkeit eines Gutachtens a. Die von der Vorinstanz mit Bezug auf die von den Behandlern abgegebenen Einschätzung- en angebrachten Vorbehalte, wonach bei Berichten von Hausärzten bzw. behandelnden Ärzten auch der Erfahrungstatsache Rechnung tragen sei, dass diese mitunter im Hinblick auf ihre auftragsrechtliche Vertrauensstellung und unter Berücksichtigung der unterschiedli- chen Natur von Behandlungs- und Begutachtungsauftrag in Zweifelsfällen eher zugunsten ihrer Patienten aussagen (vgl. dazu auch anstelle vieler: Urteile des Bundesgerichts 8C_653/2019 vom 8. Januar 2020, E. 4.2 und 8C_563/2019 vom 23. Dezember 2019, E. Seite 14 5.1; BGE 125 V 351, E. 3b/cc), sind zwar berechtigt, bedeuten aber nicht, dass aus diesem Grund ohne schlüssige Begründung von deren Einschätzung abgewichen werden kann. Die vorliegenden RAD-Einschätzung genügen aus den dargelegten Gründen nicht für eine abschliessende beweiskräftige Beurteilung des medizinischen Sachverhalts. Dies gilt insbe- sondere, nachdem auch die Eingliederungsfachleute eine Eingliederung in der ange- stammten Arbeit entgegen der Einschätzung des RAD klar als nicht mehr möglich erachte- ten und den Beschwerdeführer lediglich in deutlich reduziertem Pensum als einsatzfähig sahen. Ab welchem Zeitpunkt der Beschwerdeführer inwieweit sowohl angestammt als auch adaptiert aus medizinischer Sicht als arbeitsfähig zu betrachten ist und welche kon- kreten Anforderungen dabei eine adaptierte Arbeit erfüllen muss, ergibt sich aus den vor- handenen Unterlagen nicht abschliessend. Dass die Vorinstanz im Rahmen ihrer Abklä- rungen zum Gesundheitszustand auf die vom RAD im Bericht vom 21. Dezember 2018 (IV- act. 84) selber noch angedachte medizinische Begutachtung oder zumindest eine bidiszipli- näre Untersuchung durch den RAD verzichtet hat, ist unter den gegebenen Umständen nicht nachvollziehbar. Eine vertiefte Untersuchung hätte sich in der vorliegenden Situation geradezu aufgedrängt.</w:t>
      </w:r>
    </w:p>
    <w:p>
      <w:r>
        <w:t>b. Unter den gegebenen Umständen erscheint es klar angezeigt, den medizinischen Sachver- halt mittels einer unabhängigen Expertise abschliessend zu klären, bevor über den Leis- tungsanspruch des Beschwerdeführers abschliessend entschieden werden kann. Damit stellt sich automatisch die Frage, ob diese noch nötigen Abklärungen nun direkt durch das Gericht im Rahmen des vorliegenden Beschwerdeverfahrens vorzunehmen sind oder ob diese Abklärungen zunächst durch die Vorinstanz zu erfolgen haben. Mit folgenden Überle- gungen weist das Gericht die Angelegenheit im konkreten Fall an die Vorinstanz zurück mit der Aufforderung, den Sachverhalt zunächst abschliessend zu klären, bevor sie erneut über den Leistungsanspruch des Beschwerdeführers verfügt: Kann gestützt auf die üblicherwei- se als erstes vorgenommenen verwaltungsinternen Abklärungen wie die Einholung von me- dizinischen Berichten bei den behandelnden Ärzten sowie Stellungnahmen des RAD dazu der Leistungsanspruch eines Versicherten noch gar nicht abschliessend beurteilt werden, so ist die Vorinstanz bereits im Rahmen der sie treffenden Untersuchungspflicht gemäss Art. 43 Abs. 1 ATSG gehalten, die medizinischen Entscheidgrundlagen wenn nötig auch durch Einholung von externen Expertisen zu ergänzen. Es steht ihr nicht frei, dies einfach zu unterlassen und im Fall eines Beschwerdeverfahrens mit dem Antrag auf ein Gerichts- gutachten zu erreichen, dass die Sachverhaltsabklärung so letztlich ins Beschwerde- verfahren verschoben wird. Da unter den gegebenen Umständen bereits im Rahmen der vorinstanzlichen Sachverhaltsabklärungen die Einholung eines Gutachtens angezeigt gewesen wäre, hat die Vorinstanz dies entsprechend nachzuholen.</w:t>
      </w:r>
    </w:p>
    <w:p>
      <w:r>
        <w:t>Seite 15 c. Die in der Vernehmlassung geäusserten Bedenken, wonach „eine durch die IV-Stelle ge- wählte Gutachterstelle keine Akzeptanz finden würde“, können nicht nachvollzogen werden: Art. 44 ATSG sieht vor, dass ein Gutachter allenfalls „aus triftigen Gründen“ abgelehnt wer- den kann. Sollte der Beschwerdeführer gegenüber der Vorinstanz solche triftigen Gründe vorbringen, wäre eine andere Gutachterstelle zu wählen; sollten hingegen keine triftigen Gründe für eine allfällige Ablehnung einer von der Vorinstanz in Aussicht gestellten Gutach- terstelle (bzw. einer einzelnen Gutachterperson) bestehen, so kann die Vorinstanz den Be- schwerdeführer unter Hinweis auf seine Mitwirkungspflichten gemäss Art. 43 Abs. 3 ATSG ermahnen und darauf hinweisen, dass bei ungerechtfertigter Verweigerung der Mitwirkung aufgrund der Akten verfügt wird. Unter den gegebenen Umständen sieht das Gericht keinen Anlass dafür, selber eine Gutachterstelle festzulegen, da auch dies zu den Aufgaben der Vorinstanz im Rahmen ihrer Untersuchungspflicht gehört, solange der Sachverhalt noch gar nicht vollständig geklärt ist.</w:t>
      </w:r>
    </w:p>
    <w:p>
      <w:r>
        <w:rPr>
          <w:b/>
        </w:rPr>
        <w:t>E. 3</w:t>
      </w:r>
    </w:p>
    <w:p>
      <w:r>
        <w:t>Die Vorinstanz wird verpflichtet, dem Beschwerdeführer eine Parteientschädigung von Fr. 2‘800.20 zu bezahlen.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über dessen Vertretung, die Vorinstanz und das Bun- desamt für Sozialversicherungen.</w:t>
      </w:r>
    </w:p>
    <w:p>
      <w:r>
        <w:t>Im Namen der 3. Abteilung des Obergerichts</w:t>
      </w:r>
    </w:p>
    <w:p>
      <w:r>
        <w:t>Der Obergerichtspräsident:</w:t>
      </w:r>
    </w:p>
    <w:p>
      <w:r>
        <w:t>lic. iur. Walter Kobler Die Gerichtsschreiberin:</w:t>
      </w:r>
    </w:p>
    <w:p>
      <w:r>
        <w:t>lic. iur. Annika Mauerhofer</w:t>
      </w:r>
    </w:p>
    <w:p>
      <w:r>
        <w:t>versandt am: 6.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