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O3V-17-28 vom 19. Juni 2018</w:t>
      </w:r>
    </w:p>
    <w:p>
      <w:r>
        <w:t>AR Gerichte, 2018-06-19, DE</w:t>
      </w:r>
    </w:p>
    <w:p>
      <w:r>
        <w:rPr>
          <w:b/>
        </w:rPr>
        <w:t xml:space="preserve">Quelle: </w:t>
      </w:r>
      <w:r>
        <w:t>https://mcp.opencaselaw.ch/entscheid/ar_gerichte_OG_O3V-17-28</w:t>
      </w:r>
    </w:p>
    <w:p>
      <w:r>
        <w:t>FR: AR_GERICHTE OG O3V-17-28 du 19 juin 2018</w:t>
      </w:r>
    </w:p>
    <w:p>
      <w:r>
        <w:t>IT: AR_GERICHTE OG O3V-17-28 del 19 giugno 2018</w:t>
      </w:r>
    </w:p>
    <w:p>
      <w:pPr>
        <w:pStyle w:val="Heading2"/>
      </w:pPr>
      <w:r>
        <w:t>Regeste</w:t>
      </w:r>
    </w:p>
    <w:p>
      <w:r>
        <w:t>Obergericht Appenzell Ausserrhoden 3. Abteilung Urteil vom 19. Juni 2018 Mitwirkende Obergerichtsvizepräsident W. Kobler Oberrichter H.P. Fischer, Ch. Wild, Dr. F. Windisch, S. Ramseyer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3</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Seite 5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(Urteile des Bundesgerichts 8C_62/2016 vom</w:t>
      </w:r>
    </w:p>
    <w:p>
      <w:r>
        <w:rPr>
          <w:b/>
        </w:rPr>
        <w:t>E. 7</w:t>
      </w:r>
    </w:p>
    <w:p>
      <w:r>
        <w:t>Juli 2016 E. 4.1, 8C_452/2016 vom 27. September 2016 E. 3). Was die Beweiskraft versicherungsinterner Berichte anbelangt, so lässt ein Anstellungsverhältnis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125 V 351 E. 3b/ee, 135 V 465 E. 4.4, 142 V 551 E. 8.3.1.1).</w:t>
      </w:r>
    </w:p>
    <w:p>
      <w:r>
        <w:t>4. 4.1</w:t>
      </w:r>
    </w:p>
    <w:p>
      <w:r>
        <w:t>Bei der Frage der (Rest-)Arbeitsfähigkeit bzw. deren Verwertbarkeit stellt sich der Beschwerdeführer auf den Standpunkt, aufgrund seines fortgeschrittenen Alters von über 62 Jahren sei das von den Gutachtern skizzierte umfangreiche Anforderungsprofil unrealistisch und die Verwertung der Restarbeitsfähigkeit nicht mehr zumutbar, zumal er immer (nur) als Maschinenmechaniker gearbeitet habe. Dem hält die IV-Stelle entgegen, dass die Rechtsprechung bei der Verwertbarkeit der Restarbeitsfähigkeit einen strengen Massstab anlege.</w:t>
      </w:r>
    </w:p>
    <w:p>
      <w:r>
        <w:t>4.2</w:t>
      </w:r>
    </w:p>
    <w:p>
      <w:r>
        <w:t>Die Frage der Verwertbarkeit der (Rest-) Arbeitsfähigkeit beurteilt sich (auch bei vorgerücktem Alter) bezogen auf einen ausgeglichenen Arbeitsmarkt (Art. 16 Abs. 1 ATSG), wobei an die Konkretisierung von Arbeitsgelegenheiten und Verdienstaussichten keine übermässigen Anforderungen gestellt werden dürfen (Urteil des Bundesgerichts 9C_153/2011 vom 22. März 2012 E. 3.1). Das fortgeschrittene Alter wird, obwohl an sich ein invaliditätsfremder Faktor, in der Rechtsprechung als Kriterium anerkannt, das zusammen mit weiteren persönlichen und beruflichen Gegebenheiten dazu führen kann, Seite 6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Der Einfluss des Lebensalters auf die Möglichkeit, das verbliebene Leistungsvermögen auf dem ausgeglichenen Arbeitsmarkt zu verwerten, lässt sich dabei nicht nach einer allgemeinen Regel bemessen, sondern hängt von den Umständen des Einzelfalles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(Urteile des Bundesgerichts 9C_118/2015 vom 9. Juli 2015 E. 2.1, 8C_678/2016 vom 1. März 2017 E. 2.1).</w:t>
      </w:r>
    </w:p>
    <w:p>
      <w:r>
        <w:t>Für den Zeitpunkt, in welchem die Frage nach der Verwertbarkeit der (Rest-) Arbeitsfähigkeit bei vorgerücktem Alter beantwortet wird, ist auf das Feststehen der medizinischen Zumutbarkeit einer (Teil-)Erwerbstätigkeit abzustellen (BGE 138 V 457 E. 3.3; Urteil des Bundesgerichts 9C_118/2015 vom 9. Juli 2015 E. 2.3).</w:t>
      </w:r>
    </w:p>
    <w:p>
      <w:r>
        <w:t>Fehlt es an einer wirtschaftlich verwertbaren Resterwerbsfähigkeit, liegt eine vollständige Erwerbsunfähigkeit vor, die Anspruch auf eine ganze Invalidenrente begründet (Urteile des Bundesgerichts I 831/05 vom 21. August 2006 E. 4.1.1, 9C_954/2012 vom 10. Mai 2013 E. 2, 9C_734/2013 vom 13. März 2014 E. 2.1, 9C_118/2015 vom 9. Juli 2015 E. 2.1, 8C_645/2017 vom 23. Januar 2018 E. 3.1).</w:t>
      </w:r>
    </w:p>
    <w:p>
      <w:r>
        <w:t>4.3</w:t>
      </w:r>
    </w:p>
    <w:p>
      <w:r>
        <w:t>Wie bereits angetönt, erachtet die Rechtsprechung das Alter für die Vermittelbarkeit regelmässig nicht als allein ausschlaggebend. Vielmehr kommt auch der verbliebenen Restarbeitsfähigkeit erhebliches Gewicht zu. So ist etwa ein 60-jähriger Versicherter, welcher mehrheitlich als Wirker in der Textilindustrie tätig gewesen war, als zwar nicht leicht vermittelbar erachtet worden (Urteil des Bundesgerichts 9C_123/2010 vom 21. September 2010 E. 5.2). Das Bundesgericht sah aber mit Bezug auf den hypothetisch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des Bundesgerichts I 376/05 vom 5. August 2005 E. 4.2). Seite 7</w:t>
      </w:r>
    </w:p>
    <w:p>
      <w:r>
        <w:t>Unter anderem mit Blick auf eine Aktivitätsdauer von immerhin noch sieben Jahren war eine erwerbliche Umsetzung der Leistungsfähigkeit auch einem 58-jährigen, kaufmännisch ausgebildeten Versicherten möglich und zumutbar, der aufgrund hochgradiger Innenohrschwerhörigkeit auf einen besonderen Anforderungen genügenden Arbeitsplatz angewiesen war (Urteil des Bundesgerichts I 819/04 vom 27. Mai 2005 E. 2.2). Als arbeitsmarkttauglich angesehen wurde auch die Restarbeitsfähigkeit eines 60-jährigen Versicherten mit einer unter anderem wegen rheumatologischer und kardialer Probleme um 30% eingeschränkten Leistungsfähigkeit (Urteil des Bundesgerichts I 304/06 vom 22. Januar 2007 E. 4.2), ebenso bei einem gleichaltrigen Versicherten, dem trotz verschiedener Rückenschäden ein vergleichsweise weites Spektrum zumutbarer Hilfstätigkeiten offenstand (Urteil des Bundesgerichts 9C_918/2008 vom 28. Mai 2009 E. 4.3).</w:t>
      </w:r>
    </w:p>
    <w:p>
      <w:r>
        <w:t>Demgegenüber verneinte das Bundesgericht die Realisierbarkeit der Restarbeitsfähigkeit von 50% im Fall eines 61-Jährigen (Urteil I 617/02 vom 10. März 2003 E. 3.3). Gleich verhielt es sich bei einer 61 Jahre alten Versicherten, bei welcher die gemischte Bemessungsmethode zur Anwendung kam, wobei im erwerblichen Teil in einer dem Leiden angepassten Beschäftigung eine Arbeitsfähigkeit von 50% bestand (Urteil des Bundesgerichts 9C_437/2008 vom 19. März 2009).</w:t>
      </w:r>
    </w:p>
    <w:p>
      <w:r>
        <w:t>4.4</w:t>
      </w:r>
    </w:p>
    <w:p>
      <w:r>
        <w:t>Im vorliegenden Fall ist zu beachten, dass der Beschwerdeführer gemäss dem beweistauglichen ZIMB-Gutachten - demgegenüber erscheint die Einschätzung einer anhaltenden vollständigen Arbeitsunfähigkeit durch den behandelnden Neurologen Dr. C___ als allzu wohlwollend - seit Juli 2015 in einer leidensadaptierten Tätigkeit zu 70% arbeitsfähig war. Dieser Zeitpunkt ist bei der Beurteilung der Zumutbarkeit der Verwertung der Restarbeitsfähigkeit massgebend und nicht etwa jener, als die angefochtene Verfügung erging. Doch ist im Fall des Beschwerdeführers zu beachten, dass er in den letzten dreissig Jahren immer nur als Polymechaniker erwerbstätig war und gemäss ZIMB-Gutachten ein ganzer Katalog an körperlichen Einschränkungen auch in einer leidensadaptierten Tätigkeit vorliegt. Dieser lautet wie folgt:</w:t>
      </w:r>
    </w:p>
    <w:p>
      <w:r>
        <w:t>- keine repetitiven, stereotypen Bewegungsabläufe</w:t>
      </w:r>
    </w:p>
    <w:p>
      <w:r>
        <w:t>- kein mehr als gelegentliches Arbeiten in Zwangshaltungen</w:t>
      </w:r>
    </w:p>
    <w:p>
      <w:r>
        <w:t>- kein Gehen auf unebenem Gelände</w:t>
      </w:r>
    </w:p>
    <w:p>
      <w:r>
        <w:t>- keine Notwendigkeit des Besteigens von Leitern, Gerüsten und schrägen Ebenen</w:t>
      </w:r>
    </w:p>
    <w:p>
      <w:r>
        <w:t>- nicht häufiger als gelegentliches Begehen von Treppen Seite 8</w:t>
      </w:r>
    </w:p>
    <w:p>
      <w:r>
        <w:t>- keine Tätigkeiten, die eine körpersichernde Funktion des rechten Fusses bedingen</w:t>
      </w:r>
    </w:p>
    <w:p>
      <w:r>
        <w:t>- keine Tätigkeiten im Freien ohne Schutz vor Kälte, Zugluft und Nässe</w:t>
      </w:r>
    </w:p>
    <w:p>
      <w:r>
        <w:t>- keine Tätigkeiten auf regennassem oder eisglattem Untergrund</w:t>
      </w:r>
    </w:p>
    <w:p>
      <w:r>
        <w:t>- kein Heben und Tragen von Gegenständen</w:t>
      </w:r>
    </w:p>
    <w:p>
      <w:r>
        <w:t>- keine hohen Ansprüche an die Gehfähigkeit und die motorischen Fähigkeiten</w:t>
      </w:r>
    </w:p>
    <w:p>
      <w:r>
        <w:t>Vor diesem Hintergrund ist doch sehr zu bezweifeln, dass es dem Beschwerdeführer zumutbar sein soll, sich auf dem ausgeglichenen Arbeitsmarkt beruflich wieder einzugliedern. Damit ist aber zugunsten des Versicherten letztlich von einer vollständigen Erwerbsunfähigkeit auszugehen, die Anspruch auf eine ganze Invalidenrente ab Oktober 2015 vermittelt, weshalb die Beschwerde gutzuheissen ist.</w:t>
      </w:r>
    </w:p>
    <w:p>
      <w:r>
        <w:t>5. 5.1 Nach Art. 69 Abs. 1bis IVG sind Beschwerdeverfahren bei Streitigkeiten um die Bewilligung oder Verweigerung von Leistungen der Invalidenversicherung kostenpflichtig. Dem Verfahrensausgang entsprechend sind vom obsiegenden Beschwerdeführer jedoch keine Kosten zu erheben (Art. 19 Abs. 3 e contrario i.V.m. Art. 53 Abs. 1 des Gesetzes über die Verwaltungsrechtspflege [VRPG; bGS 143.1]), weshalb ihm der einbezahlte Kostenvorschuss von Fr. 800.-- zurückzuerstatten ist. Der Vorinstanz sind - unabhängig vom Verfahrensausgang - ebenfalls keine Verfahrenskosten aufzuerlegen (Art. 22 Abs. 1 VRPG).</w:t>
      </w:r>
    </w:p>
    <w:p>
      <w:r>
        <w:t>5.2 Dem Verfahrensausgang entsprechend ist dem Beschwerdeführer zulasten der Vorinstanz eine Parteientschädigung zuzusprechen, die ohne Rücksicht auf den Streitwert nach der Bedeutung und der Schwierigkeit der Streitsache zu bemessen ist (Art. 61 lit. g ATSG). Im Übrigen ist die Bemessung der Parteientschädigung dem kantonalen Recht überlassen (Urteil des Bundesgerichts 8C_11/2016 vom 22. Februar 2016 E. 3.1).</w:t>
      </w:r>
    </w:p>
    <w:p>
      <w:r>
        <w:t>RA B___ reichte am 19. Februar 2018 eine Kostennote über Fr. 5'970.60 ein, basierend auf einem Honorar nach Zeitaufwand (act. 12). Im sozialversicherungsrechtlichen Verfahren ist die Entschädigung vom Obergericht indessen pauschal zu bemessen (Art. 13 Abs. 1 lit. c der Verordnung über den Anwaltstarif vom 14. März 1995 [AT; bGS 145.53]). Mit Blick auf vergleichbare Fälle, die ein wenig bis durchschnittlich aufwendiges Aktenstudium erfordern und keine ausserordentlich schwierigen Sachverhalts- und Rechtsfragen enthalten, erscheint vorliegend ein (Grund-)Honorar von Fr. 3'200.-- als angemessen (Art. 16 Abs. 1 AT). Zusätzlich sind die Barauslagen praxisgemäss mit 4% oder Fr. 128.-- zu entschädigen, sodass ein Zwischentotal von Fr. 3'328.-- resultiert. Dazu ist noch die Mehrwertsteuer zu Seite 9 schlagen, und zwar mit dem bis Ende 2017 gültigen Satz von 8% auf einen Betrag von Fr. 3'016.--, was Fr. 241.28 ausmacht, und mit dem ab 2018 gültigen Satz von 7.7% auf einen Betrag von Fr. 312.--, was ein Betreffnis von Fr. 24.02 ergibt; total ist der Beschwerdeführer von der IV-Stelle deshalb mit Fr. 3'593.30 zu entschädigen.</w:t>
      </w:r>
    </w:p>
    <w:p>
      <w:r>
        <w:t>Demnach erkennt das Obergericht:</w:t>
      </w:r>
    </w:p>
    <w:p>
      <w:r>
        <w:t>1. In Gutheissung der Beschwerde wird die Verfügung vom 4. August 2017 aufgehoben und A___ ab 1. Oktober 2015 eine ganze Invalidenrente zugesprochen.</w:t>
      </w:r>
    </w:p>
    <w:p>
      <w:r>
        <w:t>2. Es werden keine Kosten erhoben. Dem Beschwerdeführer wird der Kostenvorschuss von Fr. 800.-- zurückerstattet.</w:t>
      </w:r>
    </w:p>
    <w:p>
      <w:r>
        <w:t>3. Dem Beschwerdeführer wird zulasten der IV-Stelle eine Parteientschädigung von Fr. 3'593.30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an das Bundesamt für Sozialversicherungen und nach Rechtskraft an die Gerichtskasse.</w:t>
      </w:r>
    </w:p>
    <w:p>
      <w:r>
        <w:t>Im Namen der 3. Abteilung des Obergerichts</w:t>
      </w:r>
    </w:p>
    <w:p>
      <w:r>
        <w:t>Der Obergerichtsvizepräsident:</w:t>
      </w:r>
    </w:p>
    <w:p>
      <w:r>
        <w:t>lic. iur. Walter Kobler Der Obergerichtsschreiber:</w:t>
      </w:r>
    </w:p>
    <w:p>
      <w:r>
        <w:t>lic. iur. Joachim Kürsteiner</w:t>
      </w:r>
    </w:p>
    <w:p>
      <w:r>
        <w:t>versandt am: 02.10.18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