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O2V-19-15 ARGVP 2020 3779 vom 18. August 2020</w:t>
      </w:r>
    </w:p>
    <w:p>
      <w:r>
        <w:t>AR Gerichte, 2020-08-18, DE</w:t>
      </w:r>
    </w:p>
    <w:p>
      <w:r>
        <w:rPr>
          <w:b/>
        </w:rPr>
        <w:t xml:space="preserve">Quelle: </w:t>
      </w:r>
      <w:r>
        <w:t>https://mcp.opencaselaw.ch/entscheid/ar_gerichte_OG_O2V-19-15_ARGVP_2020_3779</w:t>
      </w:r>
    </w:p>
    <w:p>
      <w:r>
        <w:t>FR: AR_GERICHTE OG O2V-19-15 ARGVP 2020 3779 du 18 août 2020</w:t>
      </w:r>
    </w:p>
    <w:p>
      <w:r>
        <w:t>IT: AR_GERICHTE OG O2V-19-15 ARGVP 2020 3779 del 18 agosto 2020</w:t>
      </w:r>
    </w:p>
    <w:p>
      <w:pPr>
        <w:pStyle w:val="Heading2"/>
      </w:pPr>
      <w:r>
        <w:t>Regeste</w:t>
      </w:r>
    </w:p>
    <w:p>
      <w:r>
        <w:t>AR GVP 32/2020 Nr. 3779 Steuerrecht. Auslegung von Art. 189 Abs. 2 Satz 1 Steuergesetz (StG, bGS 621.11): Die Verwirkung des An- spruchs auf Revision infolge einer Sorgfaltspflichtverletzung ist im Rahmen der Prozessvoraussetzungen zu prü</w:t>
      </w:r>
    </w:p>
    <w:p>
      <w:pPr>
        <w:pStyle w:val="Heading2"/>
      </w:pPr>
      <w:r>
        <w:t>Erwägungen</w:t>
      </w:r>
    </w:p>
    <w:p>
      <w:r>
        <w:rPr>
          <w:b/>
        </w:rPr>
        <w:t>E. 3</w:t>
      </w:r>
    </w:p>
    <w:p>
      <w:r>
        <w:t>Auflage 2016, N. 1, 3 und 8 zu Art. 149 DBG). Im Zusammenhang mit den Darlegungen einer um Revision Gerichtsentscheid AR GVP 32/2020 Nr. 3779</w:t>
      </w:r>
    </w:p>
    <w:p>
      <w:r>
        <w:t>Seite 2/3 ersuchenden steuerpflichtigen Person wird sich im Regelfall zugleich auch bereits ergeben, ob die zur Begrün- dung des Gesuchs vorgetragenen Tatsachen oder Beweismittel bei zumutbarer Sorgfalt nicht bereits vor Ein- tritt der Rechtskraft hätten geltend gemacht werden können. Diese Frage betrifft nach der im erwähnten DBG- Kommentar vertretenen Ansicht nicht die eigentliche Formgültigkeit des Revisionsgesuchs, sondern vielmehr bereits dessen materielle Begründetheit (vgl. RICHNER/FREI/KAUFMANN/MEUTER, Handkommentar, a.a.O., N. 3 in fine zu Art. 149 DBG; ebenso: MARTIN LOOSER, in: Zweifel/ Beusch [Hrsg.], Bundesgesetz über die Harmonisie- rung der direkten Steuern der Kantone und Gemeinden, 3. Aufl. 2017, N. 25a und 31 zu Art. 51 StHG). Der inhaltliche Mangel einer Unbegründetheit könnte nach dieser Auffassung somit in verfahrensmässiger Hinsicht nicht zu einem Nichteintretensentscheid führen, sondern das Revisionsgesuch wäre diesfalls mangels Begrün- detheit abzuweisen; nur ein rein formeller Mangel hätte ein Nichteintreten zur Folge (vgl. in diesem Zusam- menhang im Übrigen auch RICHNER/ FREI/KAUFMANN/MEUTER, Kommentar zum Zürcher Steuergesetz, 3. Aufl. 2013, N. 1 zu § 158 StG).</w:t>
      </w:r>
    </w:p>
    <w:p>
      <w:r>
        <w:t>c. Allein gestützt auf den Wortlaut von Art. 189 Abs. 2 Satz 1 StG („die Revision ist ausgeschlossen“) kann nicht zum Vornherein ausgeschlossen werden, dass der Gesetzgeber die Frage der Sorgfaltspflichtverletzung gerade prozessual verstanden haben wollte und auf ein Revisionsbegehren bei Verletzung zumutbarer Sorgfalt dementsprechend gar nicht erst einzutreten ist, wenn der Antragsteller als Revisionsgrund lediglich vorbringt, was er bereits im ordentlichen Rechtsmittelverfahren hätte vortragen können. Für diese Auslegung spricht auch der Wortlaut des kürzlich vom kantonalen Gesetzgeber in Art. 189 Abs. 2 StG eingefügten zweiten Sat- zes (welcher nur im kantonalen Recht so vorgesehen ist, während sich keine entsprechende Regelung im Harmonisierungs- oder Bundessteuerrecht findet). Dort heisst es, wie bereits erwähnt (vgl. E. 2.1 vorstehend) nämlich: „Auf ein Revisionsgesuch gemäss Abs. 1 lit. d und e dieser Bestimmung wird nicht eingetreten, wenn die Doppelbesteuerung Folge einer Gewinn- oder Einkommensverschiebung ist, welche die antragsstellende Person absichtlich oder fahrlässig selbst veranlasst hat.“ Diese Bestimmung wurde zwar erst nach den hier in Frage stehenden Steuerperioden anlässlich der Steuergesetzrevision vom 3. Dezember 2018, in Kraft seit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