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O2S-17-2 vom 13. Juni 2017</w:t>
      </w:r>
    </w:p>
    <w:p>
      <w:r>
        <w:t>AR Gerichte, 2017-06-13, DE</w:t>
      </w:r>
    </w:p>
    <w:p>
      <w:r>
        <w:rPr>
          <w:b/>
        </w:rPr>
        <w:t xml:space="preserve">Quelle: </w:t>
      </w:r>
      <w:r>
        <w:t>https://mcp.opencaselaw.ch/entscheid/ar_gerichte_OG_O2S-17-2</w:t>
      </w:r>
    </w:p>
    <w:p>
      <w:r>
        <w:t>FR: AR_GERICHTE OG O2S-17-2 du 13 juin 2017</w:t>
      </w:r>
    </w:p>
    <w:p>
      <w:r>
        <w:t>IT: AR_GERICHTE OG O2S-17-2 del 13 giugno 2017</w:t>
      </w:r>
    </w:p>
    <w:p>
      <w:pPr>
        <w:pStyle w:val="Heading2"/>
      </w:pPr>
      <w:r>
        <w:t>Regeste</w:t>
      </w:r>
    </w:p>
    <w:p>
      <w:r>
        <w:t>Obergericht Appenzell Ausserrhoden 2. Abteilung Beschluss vom 13. Juni 2017 Mitwirkende Obergerichtsvizepräsident W. Kobler Oberrichter R. Krapf, B. Dick, S. Plachel, Dr. M. Winiger Obergerichtsschreiberin B. Widmer Verfahren Nr. O2S 17</w:t>
      </w:r>
    </w:p>
    <w:p>
      <w:pPr>
        <w:pStyle w:val="Heading2"/>
      </w:pPr>
      <w:r>
        <w:t>Erwägungen</w:t>
      </w:r>
    </w:p>
    <w:p>
      <w:r>
        <w:rPr>
          <w:b/>
        </w:rPr>
        <w:t>E. 8</w:t>
      </w:r>
    </w:p>
    <w:p>
      <w:r>
        <w:t>Festzuhalten ist, dass die Beschwerde von A___ gutzuheissen und die Verfügung der Staatsanwaltschaft vom 3. Januar 2017 betreffend das Gesuch von A___ um unentgeltliche Rechtspflege aufzuheben ist. Gestützt auf die in vorstehender Erwägung 5 zitierten Lehrmeinung von ANDREAS J. KELLER, wonach reformatorische Entscheide Sinn machen, wenn ein Entscheid in der Sache möglich ist, verzichtet das Obergericht auf eine Rückweisung und fällt selbst einen neuen Entscheid. Dementsprechend ist der Gesuchstellerin im Verfahren Nr. U 16 538 mit Wirkung ab 29. August 2016 die unentgeltliche Rechtspflege zu gewähren. Diese umfasst die Befreiung von Vorschuss- und Sicherheitsleistungen, die Befreiung von Verfahrenskosten sowie die Bestellung einer Rechtsbeiständin. Als unentgeltliche Rechtbeiständin wird RA B___ beauftragt.</w:t>
      </w:r>
    </w:p>
    <w:p>
      <w:r>
        <w:rPr>
          <w:b/>
        </w:rPr>
        <w:t>E. 9</w:t>
      </w:r>
    </w:p>
    <w:p>
      <w:r>
        <w:t>Berichtigung von Dispositiv Ziff. 3</w:t>
      </w:r>
    </w:p>
    <w:p>
      <w:r>
        <w:t>Seite 14</w:t>
      </w:r>
    </w:p>
    <w:p>
      <w:r>
        <w:t>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(Art. 83 Abs. 1 StPO). Der erläuterte oder berichtigte Entscheid wird den Parteien eröffnet (Art. 83 Abs. 4 StPO). Das Institut der Berichtigung ermöglicht es, ein fehlerhaftes Dispositiv zu korrigieren. Typischer Anwendungsfall der Berichtigung sind offensichtliche Redaktions- oder Rechnungsfehler (NILS STOHNER, in: Basler Kommentar, StPO, 2. Aufl. 2014, N. 10 zu Art. 83 StPO).</w:t>
      </w:r>
    </w:p>
    <w:p>
      <w:r>
        <w:t>In Dispositiv Ziff. 2 wird der Beschwerdeführerin die unentgeltliche Rechtspflege, inklusive Rechtsverbeiständung, gewährt und A___in in Dispositiv Ziff. 3 in sinngemässer Anwendung von Art. 135 Ziff. 4 i.V.m. Art. 138 Abs. 1 StPO verpflichtet, dem Kanton Appenzell Ausserrhoden die Verfahrenskosten zurückzuzahlen sowie der Rechtsbeiständin die Differenz zwischen der amtlichen Entschädigung und dem vollen Honorar zu erstatten, sobald es ihre wirtschaftlichen Verhältnisse erlauben. Das Einfügen von Dispositiv Ziff. 3 stellt einen offenkundigen Redaktionsfehler dar, indem bei der Ausfertigung des Dispositivs versehentlich die „Mustervorlage für „Beschuldigte“ verwendet wurde. Jene Mustervorlage enthält den fraglichen Textbaustein, was jedoch erst nach Versand des Dispositivs aufgefallen ist. Dies war mit Blick auf Art. 30 Abs. 3 Opferhilfegesetz (OHG, SR 312.5) vom Gericht offensichtlich nicht so gewollt gewesen. Demzufolge ist der Beschluss gemäss Art. 83 Abs. 1 StPO insoweit zu berichtigen, als dass Dispositiv Ziff. 3 ersatzlos zu streichen ist.</w:t>
      </w:r>
    </w:p>
    <w:p>
      <w:r>
        <w:rPr>
          <w:b/>
        </w:rPr>
        <w:t>E. 10</w:t>
      </w:r>
    </w:p>
    <w:p>
      <w:r>
        <w:t>a) Art. 428 StPO regelt die Kostentragungspflicht im Rechtsmittelverfahren. Gemäss dessen Absatz 1 tragen die Parteien die Kosten nach Massgabe ihres Obsiegens oder Unterliegens. Die Beschwerdeführerin ist mit ihren Beschwerdeanträgen vollumfänglich durchgedrungen, weshalb die Kosten des Beschwerdeverfahrens, bestehend aus einer Gebühr von CHF 300.00, vollumfänglich auf die Staatskasse genommen werden. Fällt die Rechtsmittelinstanz selber einen neuen Entscheid, so befindet sie darin auch über die von der Vorinstanz getroffene Kostenregelung (Art. 428 Abs. 3 StPO). Ein solcher Entscheid entfällt in casu, da gemäss Ziff. 2 der Einstellungsverfügung die Untersuchungskosten dem Staat auferlegt wurden.</w:t>
      </w:r>
    </w:p>
    <w:p>
      <w:r>
        <w:t>b) Art. 436 StPO regelt die Entschädigung und Genugtuung im Rechtsmittelverfahren und sieht in Abs. 1 vor, dass sich die Ansprüche nach den Art. 429 bis 434 StPO richten. In Analogie zum vorstehenden Kostenentscheid hat gestützt auf Art. 429 Abs. 1 lit. a StPO der Staat die Kosten für die angemessene Verteidigung der</w:t>
      </w:r>
    </w:p>
    <w:p>
      <w:r>
        <w:t>Seite 15 Beschwerdeführerin im vorliegenden Verfahren vollumfänglich zu übernehmen. Die Kostennote von RA B___ in der Höhe von CHF 1‘158.30, inkl. Barauslagen und MWSt (act. B 14), erweist sich als tarifkonform. Die Beschwerdeführerin ist für das Beschwerdeverfahren in dieser Höhe zu entschädigen.</w:t>
      </w:r>
    </w:p>
    <w:p>
      <w:r>
        <w:t>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