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OG ERZ-20-8 ARGVP 2020 3791 vom 29. April 2020</w:t>
      </w:r>
    </w:p>
    <w:p>
      <w:r>
        <w:t>AR Gerichte, 2020-04-29, DE</w:t>
      </w:r>
    </w:p>
    <w:p>
      <w:r>
        <w:rPr>
          <w:b/>
        </w:rPr>
        <w:t xml:space="preserve">Quelle: </w:t>
      </w:r>
      <w:r>
        <w:t>https://mcp.opencaselaw.ch/entscheid/ar_gerichte_OG_ERZ-20-8_ARGVP_2020_3791</w:t>
      </w:r>
    </w:p>
    <w:p>
      <w:r>
        <w:t>FR: AR_GERICHTE OG ERZ-20-8 ARGVP 2020 3791 du 29 avril 2020</w:t>
      </w:r>
    </w:p>
    <w:p>
      <w:r>
        <w:t>IT: AR_GERICHTE OG ERZ-20-8 ARGVP 2020 3791 del 29 aprile 2020</w:t>
      </w:r>
    </w:p>
    <w:p>
      <w:pPr>
        <w:pStyle w:val="Heading2"/>
      </w:pPr>
      <w:r>
        <w:t>Regeste</w:t>
      </w:r>
    </w:p>
    <w:p>
      <w:r>
        <w:t>AR GVP 32/2020 Nr. 3791 Bewilligung der vorzeitigen Vollstreckbarkeit eines Entscheides (Art. 315 Abs. 2 ZPO). Ein Entscheid, welcher die Regelung des Unterhalts sowie der Betreuung der Kinder zum Inhalt hat, ist ein Gestaltungsent- schei</w:t>
      </w:r>
    </w:p>
    <w:p>
      <w:pPr>
        <w:pStyle w:val="Heading2"/>
      </w:pPr>
      <w:r>
        <w:t>Volltext</w:t>
      </w:r>
    </w:p>
    <w:p>
      <w:r>
        <w:t>Seite 1/2 AR GVP 32/2020 Nr. 3791 Bewilligung der vorzeitigen Vollstreckbarkeit eines Entscheides (Art. 315 Abs. 2 ZPO). Ein Entscheid, welcher die Regelung des Unterhalts sowie der Betreuung der Kinder zum Inhalt hat, ist ein Gestaltungsent- scheid im Sinne von Art. 315 Abs. 3 ZPO. Folglich ist die Bewilligung der vorzeitigen Vollstreckbarkeit gestützt auf Art. 315 Abs. 2 ZPO ausgeschlossen. Verfügung des Einzelrichters des Obergerichts, 29.04.2020, ERZ 20 8 Aus den Erwägungen: 5. a) A. ist der Auffassung, der angefochtene Entscheid komme bezüglich der Betreuung einem Gestaltungsur- teil gleich. Die aufschiebende Wirkung könne deshalb nicht entzogen werden. S. hält dem entgegen, die Regelung der Betreuung sei kein Gestaltungsurteil, weil damit kein Rechtsverhältnis begründet oder abgeändert werde.</w:t>
      </w:r>
    </w:p>
    <w:p>
      <w:r>
        <w:t>b) Gemäss Art. 315 Abs. 1 ZPO hemmt die Berufung grundsätzlich (zu den gesetzlichen Ausnahmen vgl. Art. 315 Abs. 4 und 5 ZPO) die Rechtskraft und die Vollstreckbarkeit des angefochtenen Entscheids im Umfang der Rechtsmittelanträge. Die Berufungsinstanz kann allerdings gemäss Art. 315 Abs. 2 ZPO abweichend von die- sem Grundsatz auf Antrag hin (BENEDIKT SEILER, Die Berufung nach ZPO, 2013, Rz. 1010 ff.) die Vollstreckung (besser: Vollstreckbarkeit; SEILER, a.a.O., Rz. 1005) des angefochtenen Urteils vorzeitig bewilligen, sofern es sich bei diesem Urteil um kein Gestaltungsurteil im Sinne von Art. 315 Abs. 3 ZPO handelt. Nach Art. 87 ZPO hat eine Gestaltungsklage die Begründung, Änderung oder Aufhebung eines bestimmten Rechts oder Rechts- verhältnisses zum Inhalt. Dieser Inhalt deckt sich mit demjenigen der Gestaltungsentscheide gemäss Art. 103 Abs. 2 lit a BGG (KATHRIN KLETT, Basler Kommentar, Bundesgerichtsgesetz, 3. Aufl. 2018, N. 14 zu Art. 103 BGG; SEILER, a.a.O., Rz. 1035). Als Beispiele für Gestaltungsentscheide werden meist Vaterschafts- und Scheidungsurteile, sowie Entscheide über die Auflösung einer juristischen Person genannt (BEAT MATHYS, in: Baker &amp; McKenzie [Hrsg.], Schweizerische Zivilprozessordnung, 2010, N. 12 zu Art. 315 ZPO; SEILER, a.a.O., Rz. 1032 und 1035). Aber nicht nur Statusklagen fallen unter Art. 315 Abs. 3 ZPO und Art. 103 Abs. 2 lit. a BGG; Gestaltungsentscheide sind etwa auch Entscheide über das Besuchsrecht (ALEXANDER R. MARKUS, in: Berner Kommentar, ZPO, 2012, N. 16 S. 938 zu Art. 87 ZPO; SEILER, a.a.O., Rz. 1033, mit Hinweis auf das Ur- teil des Bundesgerichts 5A_482/2007 vom 17. Dezember 2007 E. 1; Urteil des Obergerichts Zürich NQ120076 vom 14. Januar 2013 E. 2.1.), die Obhut (Urteil des Bundesgerichts 5A_754/2013 vom 4. Februar 2014 E. 2.3) oder über die Gestaltung der Elternrechte bei Scheidung oder Trennung (BESSENICH/BOPP, in: Sutter- Somm/Hasenböhler/Leuenberger [Hrsg.], Kommentar zur Schweizerischen Zivilprozessordnung [ZPO], 3. Aufl. 2016, N. 8 S. 790 zu Art. 87 ZPO; MARC WEBER, in: Basler Kommentar, ZPO, 3. Aufl. 2017, N. 10 zu Art. 87 ZPO; SEILER, a.a.O., Rz. 1037 S. 443; FLORIAN MOHS, in: Gehri/Jent-Sørensen/Sarbach [Hrsg.], Schweizeri- sche Zivilprozessordnung, 2. Aufl. 2015, N. 3 S. 237 zu Art. 87 ZPO; ALEXANDER R. MARKUS, a.a.O., N. 16 S. 937 zu Art. 87 ZPO). Keine Gestaltungsurteile sind dagegen Entscheide über Kindesschutzmassnahmen (SEI- LER, a.a.O., Rz. 1034, mit Hinweis auf das Urteil des Bundesgerichts 5A_94/2007 vom 31. Mai 2007).</w:t>
      </w:r>
    </w:p>
    <w:p>
      <w:r>
        <w:t>Gerichtsentscheid AR GVP 32/2020 Nr. 3791</w:t>
      </w:r>
    </w:p>
    <w:p>
      <w:r>
        <w:t>Seite 2/2 Angefügt sei, dass sich aus dem Urteil des Bundesgerichts 5A_754/2013 vom 4. Februar 2014 E. 2.3 ergibt, dass ein im Rahmen vorsorglicher Massnahmen - wozu etwa Eheschutzentscheide gehören - getroffener Ent- scheid über die Obhut nicht unter Art. 315 Abs. 3 ZPO und Art. 103 Abs. 2 lit. a BGG fällt. Vorliegend steht je- doch kein Massnahmenentscheid zur Diskussion, sondern die endgültige Regelung der Elternrechte. Es kommt somit mit Blick auf die vorliegende Fragestellung darauf an, in welchem Verfahren über die Obhut ent- schieden wird. Dies scheint NIKOLAS VON WERDT (in: SEILER/VON WERDT/GÜNGERICH/OBERHOLZER, Bundesge- richtsgesetz, 2. Aufl. 2015, N. 8 zu Art. 103 BGG) zu übersehen, wenn er unter Hinweis auf den eingangs er- wähnten Entscheid des Bundesgerichts ohne Präzisierung oder Einschränkung die Meinung vertritt, die Rege- lung der Obhut falle nicht unter Art. 103 Abs. 2 lit. a BGG. KATHRIN KLETT (a.a.O., N. 14 S. 1630 zu Art. 103 BGG) dagegen erwähnt das Urteil 5A_754/2013 im Zusammenhang mit der Nichtanwendbarkeit von Art. 103 Abs. 2 lit. a BGG auf vorsorgliche Massnahmen. Nach Ansicht des Obergerichts Zürich handelt es sich bei der Obhutszuteilung nicht um ein Gestaltungsurteil (Beschluss LP100009 vom 17. Juli 2012 E. II./F S. 53).</w:t>
      </w:r>
    </w:p>
    <w:p>
      <w:r>
        <w:t>c) Der Vorderrichter hat im Rahmen einer selbständigen Unterhaltsklage über die weiteren Kinderbelange ent- schieden (vgl. Art. 304 Abs. 2 ZPO). Gestützt auf Art. 298 Abs. 3ter ZGB hat er die alternierende Obhut ange- ordnet und gleichzeitig die Betreuungszeiten festgelegt (Dispositiv-Ziffer 1 des angefochtenen Entscheids). Vorliegend steht die Betreuung der Kinder durch die Eltern zur Diskussion. Es geht dabei um das interne Ver- hältnis mehrerer Personen. Eine Betreuungsregelung ist rechtsgestaltend und damit ein Gestaltungsentscheid im Sinne von Art. 315 Abs. 3 ZPO. Dies schliesst die Bewilligung der vorzeitigen Vollstreckbarkeit von vornhe- rein aus. Mithin ist das Gesuch von S. abzuweisen.</w:t>
      </w:r>
    </w:p>
    <w:p>
      <w:r>
        <w:t>Auf die gegen diese Verfügung erhobene Beschwerde der Gesuchsgegnerin A. ist das Bundesgericht in sei- nem Urteil vom 1. September 2020 nicht eingetreten (Urteil BGer 5A_461/2020).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