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2015 3645 vom 13. Mai 2015</w:t>
      </w:r>
    </w:p>
    <w:p>
      <w:r>
        <w:t>AR Gerichte, 2015-05-13, DE</w:t>
      </w:r>
    </w:p>
    <w:p>
      <w:r>
        <w:rPr>
          <w:b/>
        </w:rPr>
        <w:t xml:space="preserve">Quelle: </w:t>
      </w:r>
      <w:r>
        <w:t>https://mcp.opencaselaw.ch/entscheid/ar_gerichte_OG_ARGVP_2015_3645</w:t>
      </w:r>
    </w:p>
    <w:p>
      <w:r>
        <w:t>FR: AR_GERICHTE OG ARGVP 2015 3645 du 13 mai 2015</w:t>
      </w:r>
    </w:p>
    <w:p>
      <w:r>
        <w:t>IT: AR_GERICHTE OG ARGVP 2015 3645 del 13 maggio 2015</w:t>
      </w:r>
    </w:p>
    <w:p>
      <w:pPr>
        <w:pStyle w:val="Heading2"/>
      </w:pPr>
      <w:r>
        <w:t>Regeste</w:t>
      </w:r>
    </w:p>
    <w:p>
      <w:r>
        <w:t>B. Gerichtsentscheide 3645 mehr als die Hälfte des Unterhalts – und darauf kommt es für die Beurteilung der Zulässigkeit des Kinderabzugs gemäss Art. 38 Abs. 1 lit. a StG an – ihrer Tochter aufzukommen. Umgekehrt ist die Zumutbarkeit für</w:t>
      </w:r>
    </w:p>
    <w:p>
      <w:pPr>
        <w:pStyle w:val="Heading2"/>
      </w:pPr>
      <w:r>
        <w:t>Erwägungen</w:t>
      </w:r>
    </w:p>
    <w:p>
      <w:r>
        <w:rPr>
          <w:b/>
        </w:rPr>
        <w:t>E. 25</w:t>
      </w:r>
    </w:p>
    <w:p>
      <w:r>
        <w:t>Oktober 2000, in: SG GVP 2000, Nr. 30) geltend macht. Es ist aber den- noch verlangt, dass konkret umschriebene und nicht zum vornherein untaugli- che Gründe vorgebracht werden, um die Behauptung, der veranlagte Eigen- mietwert sei zu hoch, zu stützen. 2.6.3 Solche Gründe bringt der Beschwerdeführer im vorliegenden Fall nicht vor. […] 2.6.8 Aus den von der Vorinstanz eingereichten Unterlagen ist ersichtlich, dass die Eigenmietwerte im Kanton Appenzell Ausserrhoden im kantonalen Vergleich hoch sind. Ob es angezeigt wäre, den zulässigen Spielraum für eine Abweichung nach unten weiter auszunützen, als dies der Kanton Appenzell Ausserrhoden macht – und wie dies beispielsweise im Kanton St.Gallen der Fall ist, weshalb die im Kanton St.Gallen verfügten Eigenmietwerte zum Vorn- herein nicht aussagekräftig sind für die im Kanton Appenzell Ausserrhoden veranlagten (vgl. dazu die vom Beschwerdeführer eingereichten Daten zu ei- ner Liegenschaft in Au/SG) – ist eine politische Frage und entzieht sich als solche der Beurteilung durch das Gericht. Das Obergericht hat nicht die Kompetenz, in einen politischen Entscheid einzugreifen, solange die von der Vorinstanz praktizierte Lösung zur Ermitt- lung des Eigenmietwerts verfassungs- und gesetzeskonform ausgestaltet ist. Von letzterem ist angesichts der von der Vorinstanz eingereichten Unterlagen im Regelfall auszugehen. […] 2.7 Entgegen der Ansicht des Beschwerdeführers besteht kein Anlass, das ausserrhodische System der Mietwertbestimmung vollständig neu zu überdenken. Eine gewisse Schematisierung ist namentlich in Anbetracht des- sen unumgänglich, dass die Steuerveranlagungen ein Massenverfahren dar- stellen, bei dem praktikabilitäts- und veranlagungsökonomischen Aspekten ebenfalls Rechnung zu tragen ist. Schematische Lösungen zur Verfahrens- vereinfachung sind möglich, auch wenn damit notgedrungen die Eigenheiten des Einzelfalls in gewissem Mass vernachlässigt werden. Solche Pauschalie- rungen sind gemäss bundesgerichtlicher Rechtsprechung nur dann verfas- sungswidrig, wenn sie zwangsläufig in einer erheblichen Zahl von Fällen zu einer verfassungswidrigen Ungleichbehandlung bestimmter Steuerpflichtiger führen oder systematisch bestimmte Gruppen in verfassungswidriger Weise benachteiligen. Dies ist bei der Festlegung der Eigenmietwerte nach der Wei- B. Gerichtsentscheide 3646</w:t>
      </w:r>
    </w:p>
    <w:p>
      <w:r>
        <w:t>59 sung der Staatssteuerkommission nicht der Fall. Es besteht insbesondere kein Anhaltspunkt dafür, dass das in der Weisung vorgesehene System grundsätzlich untauglich wäre, weil es sich nicht an die von Rechtsprechung und Gesetz geforderten Unter- und Obergrenzen des zulässigen Spielraums bei der Festlegung von Eigenmietwerten halten würde. Das System der Eigenmietwertbestimmung, wie es im Kanton Appenzell Ausserrhoden gestützt auf die Weisung der Staatssteuerkommission prakti- ziert wird, ist eine von verschiedenen Möglichkeiten, um den Eigenmietwert bei einem Mangel an konkreten Vergleichsmietzinsen festzusetzen. Solange der Beschwerdeführer keine konkreten, genügend substantiierten Gründe vorbringt, die geeignet sind, den ihm gestützt auf die Weisung der Staatssteu- erkommission veranlagten Eigenmietwert im konkreten Fall in ernsthafte Zweifel zu ziehen, besteht kein Grund, die Vorinstanz zu verpflichten, den Ei- genmietwert anders festzulegen, als sie dies üblicherweise im Rahmen der Massenveranlagung macht. Entgegen der Ansicht des Beschwerdeführers bestehen keine Anhaltspunkte dafür, dass der veranlagte Eigenmietwert im konkreten Fall tatsächlich höher als der anzunehmende Marktmietwert wäre. Zusammenfassend vermag der Beschwerdeführer weder aufzuzeigen, dass die Lösung der Vorinstanz zur Ermittlung des Eigenmietwerts im Allge- meinen unhaltbar oder willkürlich wäre, noch bringt er genügend substantiierte Gründe vor, um den ihm konkret veranlagten Eigenmietwert in Frage zu stel- len. Die Beschwerde ist daher abzuweisen. OGer, 13.05.2015 3646 Unfallversicherung. Es besteht naturgemäss kein Rechtsanspruch auf eine einvernehmliche Gutachterbestellung. Sachverhalt: Der Beschwerdeführer rügt, die Suva habe sich zunächst über die Verga- be des Auftrags zur Begutachtung mit ihm zu einigen. Das Obergericht weist die Beschwerde ab, weist aber darauf hin, dass eine Praxisänderung der Vor- instanz begrüssenswert wäre.</w:t>
      </w:r>
    </w:p>
    <w:p>
      <w:r>
        <w:t>Aus den Erwägungen: 2.2 Der Beschwerdeführer beruft sich insbesondere auf den Grundsatz- entscheid BGE 137 V 210 und geht unter Hinweis darauf und auf weitere Rechtsprechung davon aus, dass über die Gutachtenseinholung zwingend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