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3625 vom 20. August 2014</w:t>
      </w:r>
    </w:p>
    <w:p>
      <w:r>
        <w:t>AR Gerichte, 2014-08-20, DE</w:t>
      </w:r>
    </w:p>
    <w:p>
      <w:r>
        <w:rPr>
          <w:b/>
        </w:rPr>
        <w:t xml:space="preserve">Quelle: </w:t>
      </w:r>
      <w:r>
        <w:t>https://mcp.opencaselaw.ch/entscheid/ar_gerichte_OG_ARGVP_2014_3625</w:t>
      </w:r>
    </w:p>
    <w:p>
      <w:r>
        <w:t>FR: AR_GERICHTE OG ARGVP 2014 3625 du 20 août 2014</w:t>
      </w:r>
    </w:p>
    <w:p>
      <w:r>
        <w:t>IT: AR_GERICHTE OG ARGVP 2014 3625 del 20 agosto 2014</w:t>
      </w:r>
    </w:p>
    <w:p>
      <w:pPr>
        <w:pStyle w:val="Heading2"/>
      </w:pPr>
      <w:r>
        <w:t>Regeste</w:t>
      </w:r>
    </w:p>
    <w:p>
      <w:r>
        <w:t>B. Gerichtsentscheide 3625 Unter diesen Umständen kann es keine Rolle spielen, ob und wenn ja, nach welchem Lehrmittel die polizeiliche Übung durchgeführt wurde, zumal der Versicherte in der Beschwerde geltend machte, dass der Arm bei so</w:t>
      </w:r>
    </w:p>
    <w:p>
      <w:pPr>
        <w:pStyle w:val="Heading2"/>
      </w:pPr>
      <w:r>
        <w:t>Erwägungen</w:t>
      </w:r>
    </w:p>
    <w:p>
      <w:r>
        <w:rPr>
          <w:b/>
        </w:rPr>
        <w:t>E. 2</w:t>
      </w:r>
    </w:p>
    <w:p>
      <w:r>
        <w:t>Mit der von der Vorinstanz bestätigten Verfügung vom 3. Mai 2013 wer- den dem Beschwerdeführer X. in Zusammenhang mit dem rechtskräftig erle- digten Strafverfahren wegen Widerhandlungen gegen das Ausländergesetz und das AHVG beim KAI aufgelaufene Aufwände in der Höhe von rund Fr. 20'000.00 in Rechnung gestellt. Bevor auf Einzelheiten der Gebührenbe- messung eingetreten werden kann, stellt sich vorab die Frage, ob die strittige Gebühr für kompetenzgemässes Verwaltungshandeln erhoben wurde. Die Vorinstanz macht nämlich geltend, der Kanton Appenzell Ausserrhoden sei einer der wenigen Kantone, welcher im Bereich Schwarzarbeit ein Vollzugs- modell anwende, bei dem fast die gesamten Aufwendungen beim Arbeitsin- spektorat anfielen, wogegen bei den Spezialbehörden nur noch ein geringer Aufwand anfalle, weshalb diese jeweils nur niedrige Gebühren erheben wür-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