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OG ARGVP 2012 3596 vom 19. Januar 2012</w:t>
      </w:r>
    </w:p>
    <w:p>
      <w:r>
        <w:t>AR Gerichte, 2012-01-19, DE</w:t>
      </w:r>
    </w:p>
    <w:p>
      <w:r>
        <w:rPr>
          <w:b/>
        </w:rPr>
        <w:t xml:space="preserve">Quelle: </w:t>
      </w:r>
      <w:r>
        <w:t>https://mcp.opencaselaw.ch/entscheid/ar_gerichte_OG_ARGVP_2012_3596</w:t>
      </w:r>
    </w:p>
    <w:p>
      <w:r>
        <w:t>FR: AR_GERICHTE OG ARGVP 2012 3596 du 19 janvier 2012</w:t>
      </w:r>
    </w:p>
    <w:p>
      <w:r>
        <w:t>IT: AR_GERICHTE OG ARGVP 2012 3596 del 19 gennaio 2012</w:t>
      </w:r>
    </w:p>
    <w:p>
      <w:pPr>
        <w:pStyle w:val="Heading2"/>
      </w:pPr>
      <w:r>
        <w:t>Regeste</w:t>
      </w:r>
    </w:p>
    <w:p>
      <w:r>
        <w:t>B. Gerichtsentscheide 3596 5. Schuldbetreibung und Konkurs 3596 Betreibungsregister. Anforderungen an Interessennachweis (Art. 8a SchKG). Novenrecht im Verfahren vor der Aufsichtsbehörde. Aus den Erwägungen: 6.1 Art. 8a Abs. 1 und 2 SchK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Dezember 2011 im Schweizerischen Handelsamtsblatt (nachfolgend SHAB) publizieren und setzte den zu leistenden Kostenvorschuss auf Fr. 300‘000.00 fest. Am 20. Dezember 2011 erhob P, ebenfalls Gläubiger im Konkurs der X AG, Beschwerde gegen die Höhe des festgesetzten Kostenvorschusses. Der Beschwerde von P wurde durch den Präsidenten der Aufsichtsbehörde für Schuldbetreibung und Konkurs bis zum Entscheid die aufschiebende Wirkung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