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OG ARGVP 2012 3584 vom 29. August 2012</w:t>
      </w:r>
    </w:p>
    <w:p>
      <w:r>
        <w:t>AR Gerichte, 2012-08-29, DE</w:t>
      </w:r>
    </w:p>
    <w:p>
      <w:r>
        <w:rPr>
          <w:b/>
        </w:rPr>
        <w:t xml:space="preserve">Quelle: </w:t>
      </w:r>
      <w:r>
        <w:t>https://mcp.opencaselaw.ch/entscheid/ar_gerichte_OG_ARGVP_2012_3584</w:t>
      </w:r>
    </w:p>
    <w:p>
      <w:r>
        <w:t>FR: AR_GERICHTE OG ARGVP 2012 3584 du 29 août 2012</w:t>
      </w:r>
    </w:p>
    <w:p>
      <w:r>
        <w:t>IT: AR_GERICHTE OG ARGVP 2012 3584 del 29 agosto 2012</w:t>
      </w:r>
    </w:p>
    <w:p>
      <w:pPr>
        <w:pStyle w:val="Heading2"/>
      </w:pPr>
      <w:r>
        <w:t>Regeste</w:t>
      </w:r>
    </w:p>
    <w:p>
      <w:r>
        <w:t>B. Gerichtsentscheide 3584 zu Recht auf Ende Januar 2012 aufgehoben, womit sowohl Art. 88a Abs. 1 IVV als auch Art. 88bis Abs. 2 lit. a IVV Genüge getan wurde (Urteil BGer 8C_240/2012, E. 3; Urteil BGer 9C_865/2011, E. 3). Die Beschwerde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[…] Nachdem der hinterliegenden Parzelle 1371 bis heute eine dingli- che Sicherung der mitbenutzten Zufahrt fehlt, erweist sich die Situation dieser Parzelle nachträglich weder mit Art. 19 RPG noch mit Art. 95 Abs. 3 BauG vereinbar. Weil die durch den unbewilligten Abbruch der Zufahrt öffentlich- rechtlich in Wegnot versetzte Parzelle in der Bauzone liegt, mit einem baube- willigten Wohnhaus überbaut ist und diesem eine hinreichende Zu- und Weg- fahrt damit nun auch tatsächlich fehlt, besteht ein gewichtiges öffentliches und privates Interesse, die Erschliessung dieser Parzelle durch eine Zufahrt und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