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OG ARGVP 1992 3214 vom 15. September 1992</w:t>
      </w:r>
    </w:p>
    <w:p>
      <w:r>
        <w:t>AR Gerichte, 1992-09-15, DE</w:t>
      </w:r>
    </w:p>
    <w:p>
      <w:r>
        <w:rPr>
          <w:b/>
        </w:rPr>
        <w:t xml:space="preserve">Quelle: </w:t>
      </w:r>
      <w:r>
        <w:t>https://mcp.opencaselaw.ch/entscheid/ar_gerichte_OG_ARGVP_1992_3214</w:t>
      </w:r>
    </w:p>
    <w:p>
      <w:r>
        <w:t>FR: AR_GERICHTE OG ARGVP 1992 3214 du 15 septembre 1992</w:t>
      </w:r>
    </w:p>
    <w:p>
      <w:r>
        <w:t>IT: AR_GERICHTE OG ARGVP 1992 3214 del 15 settembre 1992</w:t>
      </w:r>
    </w:p>
    <w:p>
      <w:pPr>
        <w:pStyle w:val="Heading2"/>
      </w:pPr>
      <w:r>
        <w:t>Regeste</w:t>
      </w:r>
    </w:p>
    <w:p>
      <w:r>
        <w:t>C. Gerichtsentscheide 3214 3.2 Schuldbetreibung und Konkurs 3214 Pfändung. Der Gläubiger hat Anspruch darauf, dass ihm die als un­pfändbar ausgeschiedenen Sachen bekanntgegeben werden (Art. 92 SchKG). Nach einer alten Rechtsprechung des Bu</w:t>
      </w:r>
    </w:p>
    <w:p>
      <w:pPr>
        <w:pStyle w:val="Heading2"/>
      </w:pPr>
      <w:r>
        <w:t>Volltext</w:t>
      </w:r>
    </w:p>
    <w:p>
      <w:r>
        <w:t>C. Gerichtsentscheide 3214 3.2 Schuldbetreibung und Konkurs 3214 Pfändung. Der Gläubiger hat Anspruch darauf, dass ihm die als un­ pfändbar ausgeschiedenen Sachen bekanntgegeben werden (Art. 92 SchKG). Nach einer alten Rechtsprechung des Bundesgerichtes hat das Betrei­ bungsamt beim Pfändungsvollzug die im Sinne von Art. 92 SchKG un­ pfändbaren Sachen festzustellen, da der Gläubiger einen Anspruch darauf hat, dies zu erfahren und gegebenenfalls Beschwerde zu führen (BGE 55 III 194). Demgemäss enthält Seite 2 des obligatorischen Pfändungsprotokolls (Form. Nr. 6) eine entsprechende Rubrik, die vor­ liegend unausgefüllt blieb. Zur Bezeichnung der Kompetenzstücke ist das Betreibungsamt verpflichtet, ungeachtet, ob der Gläubiger ein ent­ sprechendes Begehren schon gestellt hat oder nicht. Das beschwer­ debeklagte Betreibungsamt hat deshalb die entsprechenden Feststel­ lungen noch nachzuholen. Dabei dürfen nach dem erwähnten Bun­ desgerichtsentscheid daraus weder dem Gläubiger noch dem Schuld­ ner Kosten erwachsen. Das heisst aber nicht, dass das Betreibungs­ amt für die Bekanntgabe der Liste der Kompetenzstücke nicht vom Gläubiger die gemäss Gebührentarif vorgesehenen Kosten erheben kann. ABSchKG 15.9.1992 105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