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OG ARGVP 1989 3149 vom 8. November 1989</w:t>
      </w:r>
    </w:p>
    <w:p>
      <w:r>
        <w:t>AR Gerichte, 1989-11-08, DE</w:t>
      </w:r>
    </w:p>
    <w:p>
      <w:r>
        <w:rPr>
          <w:b/>
        </w:rPr>
        <w:t xml:space="preserve">Quelle: </w:t>
      </w:r>
      <w:r>
        <w:t>https://mcp.opencaselaw.ch/entscheid/ar_gerichte_OG_ARGVP_1989_3149</w:t>
      </w:r>
    </w:p>
    <w:p>
      <w:r>
        <w:t>FR: AR_GERICHTE OG ARGVP 1989 3149 du 8 novembre 1989</w:t>
      </w:r>
    </w:p>
    <w:p>
      <w:r>
        <w:t>IT: AR_GERICHTE OG ARGVP 1989 3149 del 8 novembre 1989</w:t>
      </w:r>
    </w:p>
    <w:p>
      <w:pPr>
        <w:pStyle w:val="Heading2"/>
      </w:pPr>
      <w:r>
        <w:t>Regeste</w:t>
      </w:r>
    </w:p>
    <w:p>
      <w:r>
        <w:t>C. Gerichtsentscheide 3148,3149 V. Barnotbedarf Der Barnotbedarf - bei freier Kost - entspricht 50% des Grundbetrages (Ziff.l.). VI. Abweichungen von den Ansätzen gemäss Ziff.l-IV können soweit getroffen werden, als der Betreibungsbeamte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Heizungskosten Die durchschnittlichen, auf zwölf Monate verteilten Aufwendungen für Heizung (Kohlen, Holz, Gas, Öl, Elektrizität).</w:t>
      </w:r>
    </w:p>
    <w:p>
      <w:r>
        <w:rPr>
          <w:b/>
        </w:rPr>
        <w:t>E. 3</w:t>
      </w:r>
    </w:p>
    <w:p>
      <w:r>
        <w:t>Sozialbeiträge (soweit nicht vom Lohn bereits abgezogen), wie Bei­ träge bzw. Prämien an — AHV, IV und EO — Arbeitslosenversicherung — Kranken- und Sterbekassen — Unfallversicherung — Pensions- und Fürsorgekassen — Berufsverbände.</w:t>
      </w:r>
    </w:p>
    <w:p>
      <w:r>
        <w:rPr>
          <w:b/>
        </w:rPr>
        <w:t>E. 4</w:t>
      </w:r>
    </w:p>
    <w:p>
      <w:r>
        <w:t>Unumgängliche Berufsauslagen a) Erhöhter Nahrungsbedarf bei Schwerarbeit (Erd-, Bau- und Giesserei- arbeiter und ähnliche Berufe), bei Schicht- und Nachtarbeit, ferner für Schuldner, die einen sehr weiten Arbeitsweg zurücklegen müssen: Fr. 2.50 bis Fr. 5 - pro Arbeitstag. b) Auslagen für auswärtige Verpflegung. Bei Nachweis von Mehr­ auslagen für auswärtige Verpflegung, sofern der Arbeitgeber nicht dafür aufkommt: Fr. 4.- bis Fr. 6 - für jede Hauptmahlzeit. c) Überdurchschnittlicher Kleider- und Wäscheverbrauch (beispiels­ weise bei Servierpersonal, Handelsreisenden u.a.m.), sofern nicht der Arbeitgeber dafür aufkommt: Fr. 15 - bis Fr. 4 0 - pro Monat. d) Fahrten zum Arbeitsplatz. Effektive Auslagen für Bahn, Tram, Post­ auto oder andere öffentliche Verkehrsmittel. Fahrrad: Fr. 10 - bis Fr. 15 - pro Monat für Abnützung. Mofa/Moped: Fr. 20 - bis Fr. 30 - pro Monat für Abnützung, Betriebs­ stoff usw. Motorrad: Fr. 35 - bis Fr. 55 - pro Monat für Abnützung, Betriebsstoff usw. e) Automobil. Sofern ein Automobil Kompetenzcharakter trägt, sind die festen und veränderlichen Kosten ohne Amortisation zu berechnen. Bei Benützung eines Automobils ohne Kompetenzcharakter: Auslagen­ ersatz wie bei Benützung öffentlicher Verkehrsmittel. 89</w:t>
      </w:r>
    </w:p>
    <w:p>
      <w:r>
        <w:t>C. Gerichtsentscheide 3148</w:t>
      </w:r>
    </w:p>
    <w:p>
      <w:r>
        <w:rPr>
          <w:b/>
        </w:rPr>
        <w:t>E. 5</w:t>
      </w:r>
    </w:p>
    <w:p>
      <w:r>
        <w:t>Rechtlich oder moralisch geschuldete Unterstützungs- Unterhaltsbeiträge, welche der Schuldner an nicht in seinem Haushalt wohnende Personen in der letzten Zelt vor der Pfändung nachgewiesener- massen geleistet hat und voraussichtlich auch während der Dauer der Pfändung leisten wird. Dem Betreibungsamt sind für solche Beiträge Unterlagen (wie Urteile, Quittungen und dergleichen) vorzuweisen.</w:t>
      </w:r>
    </w:p>
    <w:p>
      <w:r>
        <w:rPr>
          <w:b/>
        </w:rPr>
        <w:t>E. 6</w:t>
      </w:r>
    </w:p>
    <w:p>
      <w:r>
        <w:t>Schulung der Kinder Besondere Auslagen für Schulung der Kinder (Bahn, Tram, Postauto oder andere öffentliche Verkehrsmittel; Schulmaterial und dergleichen). Das gilt auch für Studenten bis zu ihrer Volljährigkeit (BGE 98 III S. 34 ff.), wobei allfällige Stipendien und anderweitige Einkünfte derselben ange­ messen zu berücksichtigen sind.</w:t>
      </w:r>
    </w:p>
    <w:p>
      <w:r>
        <w:rPr>
          <w:b/>
        </w:rPr>
        <w:t>E. 7</w:t>
      </w:r>
    </w:p>
    <w:p>
      <w:r>
        <w:t>Abzahlung oder Miete von Kompetenzstücken Gemäss Kaufvertrag, jedoch nur so lange zu berücksichtigen, als der Schuldner bei richtiger Vertragserfüllung zur Abzahlung verpflichtet ist und sich über die Zahlungen ausweist. Voraussetzung: Der Verkäufer muss sich das Eigentum Vorbehalten haben. Die gleiche Regelung gilt für gemietete Kompetenzstücke (BGE 82 III S. 26 ff.). Verpflichtungen aus Vorauszahlungsverträgen sind nicht zu berück­ sichtigen.</w:t>
      </w:r>
    </w:p>
    <w:p>
      <w:r>
        <w:rPr>
          <w:b/>
        </w:rPr>
        <w:t>E. 8</w:t>
      </w:r>
    </w:p>
    <w:p>
      <w:r>
        <w:t>7 II112). Aus der von der entscheidenden Aufsichtsbehörde am 10. August 1989 beurteilten Beschwerde Nr. 6/89 ist bekannt, dass der Schuldner zwar wohl gemäss Gründungsurkunde vom 25. Februar 1988 Eigentümer 93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