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2007 3509 vom 15. Januar 2007</w:t>
      </w:r>
    </w:p>
    <w:p>
      <w:r>
        <w:t>AR Gerichte, 2007-01-15, DE</w:t>
      </w:r>
    </w:p>
    <w:p>
      <w:r>
        <w:rPr>
          <w:b/>
        </w:rPr>
        <w:t xml:space="preserve">Quelle: </w:t>
      </w:r>
      <w:r>
        <w:t>https://mcp.opencaselaw.ch/entscheid/ar_gerichte_KG_ARGVP_2007_3509</w:t>
      </w:r>
    </w:p>
    <w:p>
      <w:r>
        <w:t>FR: AR_GERICHTE KG ARGVP 2007 3509 du 15 janvier 2007</w:t>
      </w:r>
    </w:p>
    <w:p>
      <w:r>
        <w:t>IT: AR_GERICHTE KG ARGVP 2007 3509 del 15 gennaio 2007</w:t>
      </w:r>
    </w:p>
    <w:p>
      <w:pPr>
        <w:pStyle w:val="Heading2"/>
      </w:pPr>
      <w:r>
        <w:t>Regeste</w:t>
      </w:r>
    </w:p>
    <w:p>
      <w:r>
        <w:t>B. Gerichtsentscheide 3509 Interessennachweis verschickt/faxt und danach kontrolliert, ob die Antwort eingegangen ist. Der Zeitaufwand für diese Arbeiten dürfte trotz Standardbrief realistischerweise mit mindestens einer viertel- bis eine</w:t>
      </w:r>
    </w:p>
    <w:p>
      <w:pPr>
        <w:pStyle w:val="Heading2"/>
      </w:pPr>
      <w:r>
        <w:t>Erwägungen</w:t>
      </w:r>
    </w:p>
    <w:p>
      <w:r>
        <w:rPr>
          <w:b/>
        </w:rPr>
        <w:t>E. 13</w:t>
      </w:r>
    </w:p>
    <w:p>
      <w:r>
        <w:t>zu Art. 219 StGB; Trechsel, Schweizerisches Strafgesetzbuch, Kurzkommentar, Zürich 1997, N. 6 zu Art. 219 StGB). Gemeinsam ist diesen, dass es der Bestimmung von Art. 219 StGB an Präzision mangelt und dieser Tatbestand auf schwerwiegende, krasse Fälle beschränkt werden muss (Eckert, a.a.O., N 1 zu Art. 219 StGB; Trechsel, a.a.O., N 7 zu Art. 219 StGB; ZVW 2004, S. 135; RBOG 2003, S. 145 f.). Das Gericht folgt der Ansicht (Eckert, a.a.O., N 13 zu Art. 219 StGB mit Hinweisen), dass Art. 219 StGB weitgehend dieselben Rechtsgüter wie die Delikte gegen Leib und Leben, nämlich die körperliche oder geistige Integrität der umündigen Person, schützt. Angesichts des Ausmasses der Verletzung der körperlichen oder geistigen Integrität, welche vorliegen muss, damit der Tatbestand von Art. 219 StGB erfüllt ist, vertritt das Gericht die Ansicht, dass Art. 219 StGB den Art. 126 StGB konsumiert (Trechsel, a.a.O., N 6 zu Art. 219 StGB). Nicht zuletzt, da der Tatbestand Tätlichkeit im Gegensatz zu jenem der Verletzung der Fürsorge- oder Erziehungspflicht, welcher als Vergehen ausgestaltet ist, lediglich eine Übertretung ist (Art. 126 und Art. 103 StGB; Art. 219 und Art. 10 StGB).</w:t>
      </w:r>
    </w:p>
    <w:p>
      <w:r>
        <w:t>Ergänzend sei darauf hingewiesen, dass die Grundsatzfrage, ob leichte körperliche Züchtigung von Kindern erlaubt ist, zumindest vom Bundesgericht bisher offen gelassen wurde (Entscheid 6S.361/2002 des Bundesgerichts vom 5. Juni 2003). Klar ist gemäss dem Bundesgericht, dass eine „auf körperlicher Gewalt beruhende Erziehung“ nicht statthaft ist (BGE 129 IV 223). Eine solche liegt im vorliegenden Fall aufgrund der Intensität sowie der Dauer der von dem Angeklagten begangenen Handlungen vor. Ein allenfalls bestehendes Züchtigungsrecht kommt daher in casu als Rechtfertigungsgrund nicht zur Anwendung. Zusammenfassend ist somit festzuhalten, dass der Angeklagte schuldig ist der Verletzung der Fürsorge- oder Erziehungspflicht im Sinne von Art. 219 StGB. KGer, 3. Abt., 15.01.2007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