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2007 3505 vom 23. April 2005</w:t>
      </w:r>
    </w:p>
    <w:p>
      <w:r>
        <w:t>AR Gerichte, 2005-04-23, DE</w:t>
      </w:r>
    </w:p>
    <w:p>
      <w:r>
        <w:rPr>
          <w:b/>
        </w:rPr>
        <w:t xml:space="preserve">Quelle: </w:t>
      </w:r>
      <w:r>
        <w:t>https://mcp.opencaselaw.ch/entscheid/ar_gerichte_KG_ARGVP_2007_3505</w:t>
      </w:r>
    </w:p>
    <w:p>
      <w:r>
        <w:t>FR: AR_GERICHTE KG ARGVP 2007 3505 du 23 avril 2005</w:t>
      </w:r>
    </w:p>
    <w:p>
      <w:r>
        <w:t>IT: AR_GERICHTE KG ARGVP 2007 3505 del 23 aprile 2005</w:t>
      </w:r>
    </w:p>
    <w:p>
      <w:pPr>
        <w:pStyle w:val="Heading2"/>
      </w:pPr>
      <w:r>
        <w:t>Regeste</w:t>
      </w:r>
    </w:p>
    <w:p>
      <w:r>
        <w:t>B. Gerichtsentscheide 3505 in sic! 2003, S. 612!]). Hervorzuheben ist allerdings, dass es nicht erforderlich ist, dass ein kaufmännisches Gewerbe betrieben wird: Es genügt etwa bei einem touristischen Dachverband der Verkauf und die Verm</w:t>
      </w:r>
    </w:p>
    <w:p>
      <w:pPr>
        <w:pStyle w:val="Heading2"/>
      </w:pPr>
      <w:r>
        <w:t>Erwägungen</w:t>
      </w:r>
    </w:p>
    <w:p>
      <w:r>
        <w:rPr>
          <w:b/>
        </w:rPr>
        <w:t>E. 2</w:t>
      </w:r>
    </w:p>
    <w:p>
      <w:r>
        <w:t>StGB aufgeschoben. Dies wird auch im Gutachten empfohlen, damit der Erfolg der ambulanten Behandlung nicht erheblich gefährdet wird. KGer, 3. Abt., 23.04.2005 3506 Führen eines Motorfahrzeuges in angetrunkenem Zustand. Teilbedingter Strafvollzug. Kann eine günstige Prognose (resp. das Fehlen einer ungünstigen Prognose) nur unter Berücksichtigung der Warnwirkung des zu vollziehenden Strafteils gestellt werden, ist es allenfalls sinnvoll, zum Mittel des teilbedingten Strafvollzugs zu greifen (Art. 43 Abs. 1 und 2 StGB).</w:t>
      </w:r>
    </w:p>
    <w:p>
      <w:r>
        <w:t>Aus den Erwägungen:</w:t>
      </w:r>
    </w:p>
    <w:p>
      <w:r>
        <w:t>Zusammenfassend ist J. mit einer Geldstrafe von 300 Tagessätzen à Fr. 100.-- und einer Busse von Fr. 1'250.-- zu bestrafen. Die Ersatzfreiheitsstrafe beträgt 13 Tage.</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w:t>
      </w:r>
    </w:p>
    <w:p>
      <w:r>
        <w:t>Einleitend sei festgehalten, dass die Nichtgewährung des bedingten Strafvollzugs durch die Vorinstanz grundsätzlich nicht zu beanstanden ist. Umso mehr als es sich beim Angeklagten um einen Dritttäter handelt, bei dem offenbar auch ein rund einmonatiger Strafvollzug und zwei längere Führerausweisentzüge nicht geeignet waren, eine Umkehr in der Einstellung zum Fahren unter Alkoholeinfluss zu bewirken. Gegenüber dem Urteil des Kantonsgerichtes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