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2019 vom 1. Januar 2019</w:t>
      </w:r>
    </w:p>
    <w:p>
      <w:r>
        <w:t>AI Gerichte, 2019-01-01, DE</w:t>
      </w:r>
    </w:p>
    <w:p>
      <w:r>
        <w:rPr>
          <w:b/>
        </w:rPr>
        <w:t xml:space="preserve">Quelle: </w:t>
      </w:r>
      <w:r>
        <w:t>https://mcp.opencaselaw.ch/entscheid/ai_gerichte_Verwaltungs-_und_Gerichtsentscheide_2019</w:t>
      </w:r>
    </w:p>
    <w:p>
      <w:r>
        <w:t>FR: AI_GERICHTE Verwaltungs- und Gerichtsentscheide 2019 du 1 janvier 2019</w:t>
      </w:r>
    </w:p>
    <w:p>
      <w:r>
        <w:t>IT: AI_GERICHTE Verwaltungs- und Gerichtsentscheide 2019 del 1 gennaio 2019</w:t>
      </w:r>
    </w:p>
    <w:p>
      <w:pPr>
        <w:pStyle w:val="Heading2"/>
      </w:pPr>
      <w:r>
        <w:t>Erwägungen</w:t>
      </w:r>
    </w:p>
    <w:p>
      <w:r>
        <w:rPr>
          <w:b/>
        </w:rPr>
        <w:t>E. 1</w:t>
      </w:r>
    </w:p>
    <w:p>
      <w:r>
        <w:t>Mit Publikation im Appenzeller Volksfreund im Jahr 2006 wurde die Bevölkerung über die Zonenplanrevision im Bezirk Rüte informiert und zu einer öffentlichen Vernehmlas- sung sowie einem Informationsabend eingeladen.</w:t>
      </w:r>
    </w:p>
    <w:p>
      <w:r>
        <w:t>Die Standeskommission nahm an der Sitzung vom 12. September 2006 eine Vorprüfung dieser Zonenplanrevision vor und stimmte ihr im Wesentlichen zu. Darin wurde die Re- duktion der Wohnzone (WG2) und der Zone für öffentliche Bauten und Anlagen (Oe) im Bereich x unter Berücksichtigung des Ortsbilds und der Siedlungsbegrenzung als zweck- mässig beurteilt.</w:t>
      </w:r>
    </w:p>
    <w:p>
      <w:r>
        <w:t>Die überarbeitete Zonenplanung wurde im Appenzeller Volksfreund publiziert und öffent- lich aufgelegt. An der Bezirksgemeinde vom 4. Mai 2008 ergriff kein Stimmbürger das Wort zur revidierten Zonenplanung, welche daraufhin einstimmig angenommen und von der Standeskommission genehmigt wurde. Der Bezirksrat Rüte teilte im Appenzeller Volksfreund Folgendes amtlich mit: «Zonen- und Quartierplanung. Die Gesamtrevision der Nutzungsplanung Bezirk Rüte wurde mit Beschluss vom 11. August 2008 durch die Standeskommission genehmigt.».</w:t>
      </w:r>
    </w:p>
    <w:p>
      <w:r>
        <w:t>Mit dieser Zonenplanrevision wurde der südliche Teil (ca. 2’300m2) des sich im Eigentum von A. befindenden Grundstücks Nr. y von der Wohn- und Gewerbezone in die Landwirt- schaftszone umgezont.</w:t>
      </w:r>
    </w:p>
    <w:p>
      <w:r>
        <w:rPr>
          <w:b/>
        </w:rPr>
        <w:t>E. 1.1</w:t>
      </w:r>
    </w:p>
    <w:p>
      <w:r>
        <w:t>Der Beschwerdeführer macht im Wesentlichen geltend, dass der massgebende Lohn sich nach Art. 5 Abs. 2 AHVG und Art. 7 AHVV in Verbindung mit Art. 22 Abs. 2 UVV be- stimme. Die steuerrechtliche Behandlung von Lohnbestandteilen könne deren Qualität nicht beweisen. Entscheidend sei im vorliegenden Fall, ob dem Beschwerdeführer der Beweis, dass es sich bei einer Leistung um einen Lohnbestandteil handle, mit überwie- gender Wahrscheinlichkeit gelinge. Dem Beschwerdeführer sei im Übrigen durchaus be- wusst, dass sich seine Betrachtungsweise steuerlich auswirken könne, wenn sie von der Beschwerdegegnerin anerkannt werde. Im Einspracheentscheid werde entgegen den Ausführungen in der Einsprache behauptet, der Beschwerdeführer dürfe die Fahrzeuge seiner Arbeitgeberin nicht für private Zwecke nutzen. Die Vorinstanz habe sich damit in Widerspruch zur Auskunft des Firmeninhabers gesetzt, der dem Case Manager gegen- über das Gegenteil beteuert habe. Nicht privat genutzt werden dürfen einzig Lieferwagen wie der Brückenwagen, den der Firmeninhaber dem Kundenberater der Beschwerde- gegnerin gegenüber erwähnt habe. Hier gehe es nicht um solche Lieferwagen, sondern aktuell um den Personenwagen, der dem Beschwerdeführer zur Verfügung gestellt wor- den sei und den er, entsprechend der Aussage des Firmeninhabers, privat nutzen dürfe. Vorgesehen sei, dass der Personenwagen im Herbst durch ein anderes Fahrzeug er- setzt werde. Der Beschwerdeführer habe früher nicht gewusst, dass er die private Nut- zung hätte versteuern müssen. Erst die Änderung des Formulars zu den Berufskosten im Jahr 2016 habe ihm dies bewusstgemacht. Dies sei der Grund dafür gewesen, dass er damals die Autobenützung zum ersten Mal angegeben habe. Der Ansatz gemäss Steu- ererklärung 2016 von Fr. 4’600.00 sei von der Vorinstanz anerkannt. Vom Firmeninhaber sei auch die Angabe des Beschwerdeführers in der Einsprache ausdrücklich bestätigt</w:t>
      </w:r>
    </w:p>
    <w:p>
      <w:r>
        <w:t>Geschäftsbericht 2019 – Anhang 62 - 65</w:t>
      </w:r>
    </w:p>
    <w:p>
      <w:r>
        <w:t>worden, wonach entweder die Frau des Chefs koche oder Essen über die Gasse auf Ge- schäftskosten besorgt werde. Die Aussagen vom Firmeninhaber gegenüber dem Kun- denberater seien etwas weniger genau, liessen sich aber durch das Genervtsein über die vom Beschwerdeführer mit seiner Einsprache verursachten Ermittlungen der Be- schwerdegegnerin erklären. Es verhalte sich jedenfalls so, dass der Beschwerdeführer nie für das Mittagessen zu zahlen gehabt habe. Die regelmässige Ausrichtung einer Leistung stelle offensichtlich einen Lohnbestandteil dar und sei demzufolge bei der Er- mittlung des Valideneinkommens zu berücksichtigen. Zu korrigieren sei einzig der anre- chenbare Betrag: Der Wert eines Mittagessens belaufe sich nicht auf Fr. 15.00, wie in der Einsprache gestützt auf das Betreibungsrecht geltend gemacht wurde, sondern auf Fr. 10.00. Dementsprechend reduziere sich der anzurechnende Betrag um Fr. 1’150.00 auf Fr. 2’300.00 und das Valideneinkommen von Fr. 103’593.00 auf Fr. 102’443.00. Der lnvaliditätsgrad betrage folglich 46.84%, aufgerundet 47%. Die Beschwerdegegnerin stelle betreffend Fixspesen einzig darauf ab, dass der Beschwerdeführer die Fixspesen nicht in der Steuererklärung aufgeführt habe. Unabhängig davon, ob solche Spesen in der Steuererklärung anzugeben seien, stelle sich einzig die Frage, ob die Spesen ein Äquivalent zum tatsächlichen, arbeitsbezogenen Aufwand darstellen würden oder nicht. Sie seien deshalb mit dem Betrag von Fr. 4’200.00 bei der Bemessung des Validenein- kommens zu berücksichtigen.</w:t>
      </w:r>
    </w:p>
    <w:p>
      <w:r>
        <w:rPr>
          <w:b/>
        </w:rPr>
        <w:t>E. 1.2</w:t>
      </w:r>
    </w:p>
    <w:p>
      <w:r>
        <w:t>Die Beschwerdegegnerin erwidert im Wesentlichen, dass bei der Ermittlung des hypo- thetischen Valideneinkommens mithin nur relevant sein könne, was grundsätzlich zum massgeblichen Lohn gemäss AHVG zu zählen wäre. Umstritten sei, ob der Versicherte im Gesundheitsfalle ein Geschäftsauto zu privaten Zwecken habe nutzen dürfen und die- ser Mehrwert als massgebender Lohn gemäss AHVG zu gelten habe. Nachdem der Ge- schäftsführer der Arbeitgeberin anlässlich des Telefons vom 18. Dezember 2017 ver- schiedene Angaben gemacht habe, seien noch weitere Abklärungen getätigt worden. So sei der Geschäftsführer am 2. Mai 2018 nochmals explizit zu einer allfälligen privaten Nutzung der Geschäftsautos befragt worden. Dabei habe er präzisierend angegeben, dass der Versicherte im Zeitpunkt des Unfalls einen Ducato Brückenwagen gefahren habe. Er sei mit dem Fahrzeug zu 90% von zu Hause zum Magazin gefahren. Er sei aber auch direkt auf die Baustelle oder zu einem Lieferanten gefahren. Beim Magazin hätten sie nicht genügend Parkplätze für die Lieferwagen. Weiter habe der Geschäftsfüh- rer klargestellt, dass die Fahrzeuge nicht für private Zwecke genutzt werden dürften. Zu- dem gehe aus der definitiven Steuererklärung 2013 hervor, dass ein Abzug für Motor- rad/Auto von Fr. 5’704.00 vorgenommen worden sei und keine private Nutzung eines Geschäftsautos versteuert worden sei. Ebenso gehe aus den Lohnkonti bzw. Lohnab- rechnungen aus den Jahren 2012 und 2013 kein Pauschalbetrag oder ähnliches hin- sichtlich eines Naturallohns wegen privater Nutzung eines Geschäftsautos hervor. Dies belege, dass keine private Nutzung des Geschäftsautos vorgesehen gewesen sei. Offen- sichtlich seien auf der behaupteten privaten Nutzung des Geschäftswagens auch keine AHV-Beiträge ausgerichtet worden. Es würden keine schriftlichen Unterlagen in den Ak- ten liegen, die belegen, dass in den Jahren vor oder auch nach dem Unfall das Ge- schäftsauto regelmässig privat genutzt worden sei und darauf auch tatsächlich AHV oder Steuern abgerechnet worden seien. Offensichtlich sei keine derartige private Nutzung des Geschäftsautos im Sinne einer Lohnnebenleistung vereinbart gewesen. Daran än- dere auch der Hinweis in der Beschwerde auf die Steuerveranlagung 2016 nichts. Dar- aus gehe lediglich hervor, dass einmalig eine Benützung des Geschäftsfahrzeugs als üb- rige Einkünfte deklariert worden sei. Daraus könne nicht geschlossen werden, dass der</w:t>
      </w:r>
    </w:p>
    <w:p>
      <w:r>
        <w:t>Geschäftsbericht 2019 – Anhang</w:t>
      </w:r>
    </w:p>
    <w:p>
      <w:r>
        <w:t>63 - 65 Versicherte im Gesundheitsfalle regelmässig ein Geschäftsauto zu privaten Zwecken hätte nutzen können. Da hinsichtlich der bestrittenen Berücksichtigung der Verpflegung keine neuen Einwände vorgebracht worden seien, werde diesbezüglich vollumfänglich auf die Ausführungen im Einsprache-Entscheid verwiesen. Aktenkundig sei nicht erstellt, dass die strittigen Fixkosten als Entschädigung für die Fahrten vom Wohn- zum Arbeits- ort und für die übliche Verpflegung am Wohnort oder Arbeitsort ausgerichtet worden seien. Auch den Akten sei nirgends ein Hinweis zu entnehmen, dass in diesen Fixspe- sen ein versteckter Lohn enthalten sein soll. Fakt sei vielmehr, dass auf den Fixspesen keine AHV-Beiträge abgerechnet würden, was klar aus den Lohnabrechnungen hervor- gehe. Offensichtlich seien sie daher von der AHV auch nicht als Lohnbestandteil dekla- riert worden.</w:t>
      </w:r>
    </w:p>
    <w:p>
      <w:r>
        <w:t>2. Für die Bestimmung des Invaliditätsgrads wird gemäss Art. 16 ATSG das Erwerbsein- kommen, das die versicherte Person nach Eintritt der Invalidität und nach Durchfüh- rung der medizinischen Behandlung und allfälliger Eingliederungsmassnahmen durch eine ihr zumutbare Tätigkeit bei ausgeglichener Arbeitsmarktlage erzielen könnte, in Beziehung gesetzt zum Erwerbseinkommen, das sie erzielen könnte, wenn sie nicht invalid geworden wäre. Bei der Ermittlung des zuletzt erzielten Erwerbseinkommens sind sämtliche Erwerbseinkommen (auch etwa Nebeneinkünfte oder regelmässig ge- leistete Überstunden), für welche eine AHV-Beitragspflicht besteht, zu berücksichtigen (vgl. Kieser, ATSG-Kommentar, 3. Auflage, 2015, Art. 16 N 28). Mithin kann bei der Er- mittlung des hypothetischen Valideneinkommens nur relevant sein, was grundsätzlich zum massgebenden Lohn gemäss AHVG zu zählen wäre (vgl. Urteil des Bundesge- richts 8C_465/2009 vom 12. Februar 2010, E. 2.1). Gemäss Art. 5 AHVG gilt als mass- gebender Lohn jedes Entgelt für in unselbständiger Stellung auf bestimmte oder unbe- stimmte Zeit geleistete Arbeit. Der massgebende Lohn umfasst auch Teuerungs- und andere Lohnzulagen, Provisionen, Gratifikationen, Naturalleistungen, Ferien- und Fei- ertagsentschädigungen und ähnliche Bezüge, ferner Trinkgelder, soweit diese einen wesentlichen Bestandteil des Arbeitsentgeltes darstellen.</w:t>
      </w:r>
    </w:p>
    <w:p>
      <w:r>
        <w:t>3. Zwischen den Parteien ist strittig, ob die private Benützung des Geschäftswagens, die Verpflegung durch den Arbeitgeber am Arbeitsort sowie die Fixspesen von Fr. 350.00 zum massgebenden Lohn gemäss Art. 5 AHVG und demnach zum Valideneinkommen gehören oder nicht.</w:t>
      </w:r>
    </w:p>
    <w:p>
      <w:r>
        <w:rPr>
          <w:b/>
        </w:rPr>
        <w:t>E. 1.3</w:t>
      </w:r>
    </w:p>
    <w:p>
      <w:r>
        <w:t>Jede Person mit Wohnsitz in der Schweiz muss sich innert drei Monaten nach Wohn- sitznahme in der Schweiz für Krankenpflege versichern lassen (Art. 3 Abs. 1 KVG). Ausnahmen von der Versicherungspflicht bestehen gemäss Art. 2 Abs. 1 lit. e KVV ins- besondere für Personen, die keinen Anspruch auf eine schweizerische Rente haben, aber nach dem Freizügigkeitsabkommen sowie seinem Anhang II Anspruch auf eine Rente eines Mitgliedstaates der Europäischen Union haben.</w:t>
      </w:r>
    </w:p>
    <w:p>
      <w:r>
        <w:rPr>
          <w:b/>
        </w:rPr>
        <w:t>E. 1.4</w:t>
      </w:r>
    </w:p>
    <w:p>
      <w:r>
        <w:t>Vorliegend hatte der Beschwerdeführer bei seinem Zuzug in die Schweiz keinen An- spruch auf eine schweizerische Rente. Gemäss Art. 24 VO 883/2004 musste er sich in dem Staat krankenversichern, aus welchem er eine Rente erhielt. Da der Beschwerde- führer seit seinem Zuzug weiterhin in Deutschland krankenversichert war, war er in der Schweiz nicht krankenversicherungspflichtig. Seit Erreichen des Pensionsalters erhält der Beschwerdeführer auch eine kleine AHV-Rente. Mit Erhalt der AHV-Rente entfällt die Ausnahme von Art. 2 Abs. 1 lit. e KVV und der Beschwerdeführer untersteht ab die- sem Zeitpunkt grundsätzlich der schweizerischen Krankenversicherungspflicht. Die Höhe der AHV-Rente spielt dabei keine Rolle. Der Gesetzgeber hat keine betragsmäs- sige Grenze eingeführt. Somit kommt es - entgegen der Ansicht des Beschwerdefüh- rers - auch nicht darauf an, ob die Rente einen massgeblichen Beitrag an den Lebens- unterhalt leistet oder nicht. Sobald Anspruch auf eine schweizerische Rente besteht, entsteht in der Schweiz die Krankenversicherungspflicht - so auch beim Beschwerde- führer. Somit stellt sich nachfolgend die Frage, ob eine Härtefall gemäss Art. 2 Abs. 8 KVV vorliegt.</w:t>
      </w:r>
    </w:p>
    <w:p>
      <w:r>
        <w:t>2.</w:t>
      </w:r>
    </w:p>
    <w:p>
      <w:r>
        <w:rPr>
          <w:b/>
        </w:rPr>
        <w:t>E. 1.5</w:t>
      </w:r>
    </w:p>
    <w:p>
      <w:r>
        <w:t>Gemäss Art. 102 Abs. 1 SVG i.V.m. Art. 12 StGB begeht ein Verbrechen oder Verge- hen vorsätzlich, wer die Tat mit Wissen und Willen ausführt (Abs. 2) und fahrlässig, wer</w:t>
      </w:r>
    </w:p>
    <w:p>
      <w:r>
        <w:t>Geschäftsbericht 2019 – Anhang</w:t>
      </w:r>
    </w:p>
    <w:p>
      <w:r>
        <w:t>37 - 65 die Folge seines Verhaltens aus pflichtwidriger Unvorsichtigkeit nicht bedenkt oder da- rauf nicht Rücksicht nimmt. Pflichtwidrig ist die Unvorsichtigkeit, wenn der Täter die Vorsicht nicht beachtet, zu der er nach den Umständen und nach seinen persönlichen Verhältnissen verpflichtet ist.</w:t>
      </w:r>
    </w:p>
    <w:p>
      <w:r>
        <w:t>Der Berufungskläger hätte - wie oben ausgeführt - das Fahrzeug so abbremsen und seine Fahrstrecke so wählen müssen, dass er von der unberechenbaren Reaktion des Tiers nicht derart überrascht wird, dass er das Fahrzeug von der Fahrbahn lenken musste. Dem Berufungskläger kann hingegen nicht unterstellt werden, wissentlich und willentlich in den Stellriemen gefahren zu sein. Vielmehr hat er aus pflichtwidriger Un- vorsichtigkeit die Situation falsch eingeschätzt und dadurch den Unfall verursacht. Er hat demnach fahrlässig gehandelt, was nach Art. 100 Abs. 1 SVG strafbar ist.</w:t>
      </w:r>
    </w:p>
    <w:p>
      <w:r>
        <w:t>2.</w:t>
      </w:r>
    </w:p>
    <w:p>
      <w:r>
        <w:rPr>
          <w:b/>
        </w:rPr>
        <w:t>E. 2</w:t>
      </w:r>
    </w:p>
    <w:p>
      <w:r>
        <w:t>Mit Schreiben vom 20. Mai 2017 ersuchte A. den Bezirk Rüte sinngemäss, die ganze Parzelle Nr. y wieder in die Wohn- und Gewerbezone umzuzonen oder ihm eine Ent- schädigung von mindestens Fr. 500’000.00 zu bezahlen.</w:t>
      </w:r>
    </w:p>
    <w:p>
      <w:r>
        <w:rPr>
          <w:b/>
        </w:rPr>
        <w:t>E. 2.1</w:t>
      </w:r>
    </w:p>
    <w:p>
      <w:r>
        <w:t>Fällt die Rechtsmittelinstanz selber einen neuen Entscheid, so befindet sie darin auch über die von der Vorinstanz getroffene Kostenregelung (Art. 428 Abs. 3 StPO).</w:t>
      </w:r>
    </w:p>
    <w:p>
      <w:r>
        <w:t>Geschäftsbericht 2019 – Anhang</w:t>
      </w:r>
    </w:p>
    <w:p>
      <w:r>
        <w:t>59 - 65</w:t>
      </w:r>
    </w:p>
    <w:p>
      <w:r>
        <w:rPr>
          <w:b/>
        </w:rPr>
        <w:t>E. 2.2</w:t>
      </w:r>
    </w:p>
    <w:p>
      <w:r>
        <w:t>Die Kosten des erstinstanzlichen Verfahrens, bestehend aus den Gerichtsgebühren von CHF 1‘800.00, den Untersuchungskosten von CHF 1‘305.30 und den Begrün- dungskosten von CHF 900.00, insgesamt CHF 4‘005.30, sind tarifkonform und ange- messen und sind vom Berufungsbeklagten zu tragen.</w:t>
      </w:r>
    </w:p>
    <w:p>
      <w:r>
        <w:t>Kantonsgericht Appenzell I.Rh., Entscheid K 6-2019 vom 19. November 2019</w:t>
      </w:r>
    </w:p>
    <w:p>
      <w:r>
        <w:t>Geschäftsbericht 2019 – Anhang 60 - 65</w:t>
      </w:r>
    </w:p>
    <w:p>
      <w:r>
        <w:rPr>
          <w:b/>
        </w:rPr>
        <w:t>E. 2.3</w:t>
      </w:r>
    </w:p>
    <w:p>
      <w:r>
        <w:t>Die Staatsanwaltschaft hielt am Strafbefehl fest und überwies diesen samt Akten am 2. Oktober 2017 an das Bezirksgericht.</w:t>
      </w:r>
    </w:p>
    <w:p>
      <w:r>
        <w:t>3.</w:t>
      </w:r>
    </w:p>
    <w:p>
      <w:r>
        <w:rPr>
          <w:b/>
        </w:rPr>
        <w:t>E. 2.4</w:t>
      </w:r>
    </w:p>
    <w:p>
      <w:r>
        <w:t>Zunächst stellt sich die Frage der formellen Voraussetzung der Behandlung des Befrei- ungsgesuchs. Die Beschwerdegegnerin hat das Befreiungsgesuch des Beschwerde- führers, dessen Zeitpunkt sich aus den Akten nicht zweifelsfrei rekonstruieren lässt, be- handelt und geprüft. Die jetzige Berufung der Beschwerdegegnerin auf eine angeblich verpasste Frist ist nicht statthaft, hätte es ihr freigestanden, bereits damals gestützt auf diese Begründung das Gesuch abzulehnen. Dies hat sie aber nicht getan, sondern im Einspracheentscheid die Angelegenheit ausschliesslich materiell geprüft. Somit kann vorliegend offen bleiben, was eine Verletzung der Meldepflicht für Folgen nach sich ge- zogen hätte. Zudem hat die Beschwerdegegnerin den Beschwerdeführer mit Schreiben vom 2. Oktober 2009 auf seine Meldepflicht hingewiesen, wobei jedoch ein schweizeri- scher Rentenbezug gerade nicht aufgeführt ist.</w:t>
      </w:r>
    </w:p>
    <w:p>
      <w:r>
        <w:t>Geschäftsbericht 2019 – Anhang 50 - 65</w:t>
      </w:r>
    </w:p>
    <w:p>
      <w:r>
        <w:rPr>
          <w:b/>
        </w:rPr>
        <w:t>E. 2.5</w:t>
      </w:r>
    </w:p>
    <w:p>
      <w:r>
        <w:t>Zu prüfen ist, ob der Beschwerdeführer die beiden Voraussetzungen von Art. 2 Abs. 8 KVV zur Bejahung eines Härtefalls erfüllt. Dazu ist zunächst zu beurteilen, ob die aus- ländische Versicherung einen gleichwertigen Versicherungsschutz gemäss KVG bietet. Der Beschwerdeführer erhält im Krankheitsfall einerseits Leistungen aus der Beihilfe gemäss niedersächsischem Beamtengesetz, andererseits von der Krankenversiche- rung B. Zum Leistungsumfang der B. liegt in den Akten ein von der Beschwerdegegne- rin vorgegebenes und von der B. am 19. November 2018 ausgefülltes Formular betref- fend Bestätigung der Versicherungsleistungen. Demnach bestätigt die B.:</w:t>
      </w:r>
    </w:p>
    <w:p>
      <w:r>
        <w:t>«Die ausländische Krankenversicherung verpflichtet sich, für sämtliche in der Schweiz erfolgten Behandlungen der untenstehend versicherten Personen mindestens im Um- fang der Leistungen nach schweizerischem Krankenversicherungsgesetz (KVG) aufzu- kommen und dem Gesundheitsamt umgehend Meldung zu erstatten, wenn der jetzt bestehende Versicherungsschutz nicht mehr, beziehungsweise nicht mehr im heutigen Ausmass besteht. Die ausländische Versicherung übernimmt die Kosten in voller Höhe und beschränkt sie nicht auf die Kosten, wie sie im Herkunftsstaat anfallen würden. Zu- dem gewährt sie die freie Wahl des Leistungserbringers.»</w:t>
      </w:r>
    </w:p>
    <w:p>
      <w:r>
        <w:t>Unter dieser Bestätigung folgt: «Zudem werden folgende besondere Versicherungsleis- tungen gewährt (bitte alle zutreffenden Leistungen ankreuzen): Welt- oder europaweite Versicherungsdeckung, freie Spitalwahl (öffentlich/privat), Unterbringung im Ein- oder Zweibettzimmer, 100% Kostenerstattung (keine Tarifbeschränkung), freie Arztwahl, Chefarztbehandlung, Weiteres».</w:t>
      </w:r>
    </w:p>
    <w:p>
      <w:r>
        <w:t>Die B. hat diese Bestätigung unterschrieben. Bei den besonderen Versicherungsleis- tungen hat sie alle Punkte angekreuzt ausser den Punkt «100% Kostenerstattung (keine Tarifbeschränkung)». Gemäss dem vorgegebenen Formular der Beschwerde- gegnerin handelt es sich bei den Leistungen, welche angekreuzt werden können, um besondere Versicherungsleistungen. So gehören zum Beispiel die freie Spitalwahl (öf- fentlich/privat), die Unterbringung im Einzelzimmer und die Chefarztbehandlung nicht zum Pflichtleistungskatalog nach KVG. Es handelt sich somit um darüberhinausge- hende Leistungen, welche in der Schweiz über Zusatzversicherungen abgedeckt wer- den. So hat denn auch die Beschwerdegegnerin in ihrem E-Mail vom 13. November 2018 die B. gebeten, anzugeben, welche Mehrleistung sie im Gegensatz zum schwei- zerischen KVG erbringe. Der Beschwerdeführer verfügt gemäss der Bestätigung der B. somit nebst der vollen Deckung gemäss KVG über diverse Zusatzleistungen wie freie Spitalwahl oder Unterbringung in der privaten Abteilung. Daran ändert auch nichts, dass die B. zunächst lediglich das Formular unterschrieben und die Zusatzkästchen unbeachtet liess. Auf Nachfrage der Beschwerdegegnerin vom 13. November 2018 hat die B. auch die Zusatzleistungen bestätigt.</w:t>
      </w:r>
    </w:p>
    <w:p>
      <w:r>
        <w:rPr>
          <w:b/>
        </w:rPr>
        <w:t>E. 2.6</w:t>
      </w:r>
    </w:p>
    <w:p>
      <w:r>
        <w:t>SVG-Delikt (Überholen) Wer mit einem Überholmanöver beginnt, obwohl die Strecke wegen des toten Winkels nicht überblickbar ist, missachtet Art. 35 Abs. 2 SVG, wonach Überholen nur gestattet ist, wenn der nötige Raum übersichtlich und frei ist. Damit gefährdet er die Sicherheit der entgegen- kommenden Verkehrsteilnehmer ernstlich, womit er sich einer groben Verkehrsregelverlet- zung nach Art. 90 Abs. 2 SVG schuldig macht.</w:t>
      </w:r>
    </w:p>
    <w:p>
      <w:r>
        <w:t>Erwägungen:</w:t>
      </w:r>
    </w:p>
    <w:p>
      <w:r>
        <w:t>I.</w:t>
      </w:r>
    </w:p>
    <w:p>
      <w:r>
        <w:t>1. A. fuhr am Sonntag, 6. Dezember 2015, bei schönem Wetter und trockener Strasse zwischen 13:30 und 14:00 Uhr mit seinem Personenwagen von Haslen herkommend Richtung Appenzell. Nach dem Restaurant Anker überholte er den in gleicher Richtung fahrenden Personenwagen, welcher von B. gelenkt wurde. Danach fuhr A. hinter einem kleinen roten Renault (Mobility) her. Ausgangs des Hellwalds setzte er zum Überholen des roten Personenwagens an. Dabei kam ihm in der folgenden Kurve C. im grauen Jeep entgegen. Als A. das entgegenkommende Fahrzeug bemerkte, bremste er stark ab und fuhr wieder hinter den roten Personenwagen. C. wich nach rechts aus und fuhr durch den Zaun auf die Wiese.</w:t>
      </w:r>
    </w:p>
    <w:p>
      <w:r>
        <w:t>2.</w:t>
      </w:r>
    </w:p>
    <w:p>
      <w:r>
        <w:rPr>
          <w:b/>
        </w:rPr>
        <w:t>E. 2.7</w:t>
      </w:r>
    </w:p>
    <w:p>
      <w:r>
        <w:t>UVG-Verfahren (Massgebender Lohn) Für die Ermittlung des hypothetischen Valideneinkommens ist relevant, was zum massge- benden Lohn gemäss Art. 5 AHVG zu zählen ist. Der massgebende Lohn umfasst insbeson- dere auch Naturalleistungen und Unkostenentschädigungen, soweit diese einen wesentli- chen Bestandteil des Arbeitsentgelts darstellen.</w:t>
      </w:r>
    </w:p>
    <w:p>
      <w:r>
        <w:t>Erwägungen:</w:t>
      </w:r>
    </w:p>
    <w:p>
      <w:r>
        <w:t>I.</w:t>
      </w:r>
    </w:p>
    <w:p>
      <w:r>
        <w:t>1. A. erlitt am 17. September 2013 einen Unfall. (…)</w:t>
      </w:r>
    </w:p>
    <w:p>
      <w:r>
        <w:t>2. Mit Verfügung vom 4. August 2017 sprach die Suva A. eine Invalidenrente von 40% ab 1. August 2017 zu, was einer monatlichen Rente von Fr. 2’508.15 entspricht. Weiter verfügte sie eine Integritätsentschädigung von Fr. 15’750.00 bei einer Integritätsein- busse von 12.5 .</w:t>
      </w:r>
    </w:p>
    <w:p>
      <w:r>
        <w:t>3. Am 28. August 2017 erhob A. Einsprache gegen die Verfügung und beantragte eine monatliche Rente von Fr. 2’947.05, basierend auf einem Invaliditätsgrad von 47%. Er macht geltend, dass bei der Berechnung des Valideneinkommens verschiedene Fakto- ren nicht berücksichtigt worden seien, wie die private Nutzung des Geschäftsautos, die auf Betriebskosten eingenommenen Mittagessen sowie die Fixspesen. Die Berech- nung des Invalideneinkommens, der Rentenbeginn per 1. August 2017 sowie die Be- rechnung der Integritätsentschädigung hat A. nicht gerügt.</w:t>
      </w:r>
    </w:p>
    <w:p>
      <w:r>
        <w:t>4. Mit Entscheid vom 2. April 2019 wies die Suva die Einsprache ab. In der Begründung führt sie aus, dass bei der Ermittlung des Valideneinkommens sich die Frage stelle, was der Versicherte mit dem Beweisgrad der überwiegenden Wahrscheinlichkeit ohne Unfall verdienen würde. Zum Geschäftsauto habe sie am 2. Mai 2018 ein Gespräch mit dem Geschäftsführer der B. AG geführt. Gemäss dem am 2. Mai 2018 erstellten Be- richt dürften die Fahrzeuge der B. AG nicht für private Zwecke verwendet werden. Nur schon aufgrund dieser Auskunft könne die Nutzung eines Firmenfahrzeugs der B. AG nicht als zusätzlicher Lohnbestandteil bei der Eruierung des Valideneinkommens von A. mitberücksichtigt werden. Im Weiteren sei festzuhalten, dass in den Akten die defini- tive Veranlagung der Steuerverwaltung Appenzell Innerrhoden für das Steuerjahr 2013 von A. aufliege. Ebenfalls aktenkundig sei die Steuererklärung von A. für das Jahr 2016. Während nun in der definitiven Veranlagung des Steuerjahrs 2013 ein Abzug für Motorrad/Auto von Fr. 5’704.00 aufgeführt werde, werde in der Steuererklärung 2016 die Benutzung eines Geschäftsfahrzeuges von A. mit einem Wert in der Höhe von Fr. 4’600.00 angegeben. Aufgrund dieses Widerspruchs könne auch nicht mit dem im Sozialversicherungsrecht erforderlichen Beweisgrad der überwiegenden Wahrschein- lichkeit angenommen werden, dass die Nutzung eines Firmenfahrzeuges der B. AG bei der Ermittlung des Validenlohns von A. mitberücksichtigt werden müsse. Betreffend Verpflegung werde in ihrem Bericht vom 2. Mai 2018 festgehalten, dass A. ein bis zwei Mal pro Woche bei ihnen gegessen habe. Die Frau von Herrn C. habe gekocht. Für das Essen habe Frau D. keine Entschädigung erhalten oder etwas von der Firma ver- langt. A. habe einfach mitgegessen. In diesen ein bis zwei Mal pro Woche sei manch- mal auch eine Bratwurst geholt worden und über die Firma abgerechnet worden. In der</w:t>
      </w:r>
    </w:p>
    <w:p>
      <w:r>
        <w:t>Geschäftsbericht 2019 – Anhang</w:t>
      </w:r>
    </w:p>
    <w:p>
      <w:r>
        <w:t>61 - 65 Rubrik «Einschätzung» des Berichts sei geschrieben, dass eine Berücksichtigung bei der Leistungsabrechnung gerechtfertigt wäre, wenn sie bei der Steuer deklariert wor- den sei. Ansonsten habe A. bei der Steuer bestätigt, dass er keine geldwerten Leistun- gen erhalten habe. A. könne sie dann auch nicht geltend machen. Werfe man nun ei- nen Blick in die Veranlagung für das Jahr 2013 und die Steuerklärung für das Jahr 2016, sei ersichtlich, dass keine «Verpflegungen» als geldwerte Leistungen aufgeführt worden seien. Deshalb sei auch keine entsprechende Berücksichtigung beim Validen- lohn vorzunehmen. Betreffend Fixspesen sei festzuhalten, dass in der Veranlagung 2013 und der Steuererklärung 2016 keine Fixspesen aufgeführt worden seien. Sie seien deshalb beim Validenlohn nicht mit zu berücksichtigen.</w:t>
      </w:r>
    </w:p>
    <w:p>
      <w:r>
        <w:t>5. Gegen diesen Einspracheentscheid erhob der Rechtsvertreter von A. (folgend: Be- schwerdeführer) am 10. Mai 2019 Beschwerde beim Kantonsgericht Appenzell I.Rh., Abteilung Verwaltungsgericht, und stellte das Rechtsbegehren, den Einspracheent- scheid aufzuheben sowie A. ab dem 1. August 2017 eine Rente von Fr. 2’947.05, ba- sierend auf einem Invaliditätsgrad von 47%, auszurichten. Eventualiter sei die Streitsa- che für weitere Abklärungen an die Vorinstanz zurückzuweisen.</w:t>
      </w:r>
    </w:p>
    <w:p>
      <w:r>
        <w:t>6. Die Suva (folgend: Beschwerdegegnerin) beantragte in ihrer Beschwerdeantwort vom 11. Juli 2019 die Abweisung der Beschwerde.</w:t>
      </w:r>
    </w:p>
    <w:p>
      <w:r>
        <w:t>(…)</w:t>
      </w:r>
    </w:p>
    <w:p>
      <w:r>
        <w:t>III.</w:t>
      </w:r>
    </w:p>
    <w:p>
      <w:r>
        <w:t>1.</w:t>
      </w:r>
    </w:p>
    <w:p>
      <w:r>
        <w:rPr>
          <w:b/>
        </w:rPr>
        <w:t>E. 2.8</w:t>
      </w:r>
    </w:p>
    <w:p>
      <w:r>
        <w:t>Nebst der Versicherungsdeckung nach KVG verfügt der Beschwerdeführer über di- verse Zusatzleistungen. So hat er gemäss Bestätigung der B. Anspruch auf welt- oder europaweite Versicherungsdeckung, auf freie Spitalwahl (öffentlich/privat), auf Unter- bringung im Ein- oder Zweibettzimmer, auf freie Arztwahl und Chefarztbehandlung. Darüber hinaus vergütet die B. Beiträge für Zahnbehandlungen, Zahnersatz und Kiefer- orthopädie (Tarif Z 30). All diese Leistungen sind in der Schweiz über Zusatzversiche- rungen nach VVG versicherbar, wobei im Gegensatz zur Grundversicherung nach KVG</w:t>
      </w:r>
    </w:p>
    <w:p>
      <w:r>
        <w:t>Geschäftsbericht 2019 – Anhang 52 - 65</w:t>
      </w:r>
    </w:p>
    <w:p>
      <w:r>
        <w:t>keine Aufnahmepflicht besteht. Da in der Schweiz Krankenversicherungen ab einem Alter des Versicherten von ca. 55 Jahren keine Zusatzversicherungen mehr abschlies- sen, könnte der heute pensionierte Beschwerdeführer diese obigen Leistungen nicht mehr versichern. Dies wäre eine klare Verschlechterung des bisherigen Versicherungs- schutzes.</w:t>
      </w:r>
    </w:p>
    <w:p>
      <w:r>
        <w:rPr>
          <w:b/>
        </w:rPr>
        <w:t>E. 2.9</w:t>
      </w:r>
    </w:p>
    <w:p>
      <w:r>
        <w:t>Zusammenfassend kommt das Gericht zum Schluss, dass beim Beschwerdeführer ein Härtefall gemäss Art. 2 Abs. 8 KVV vorliegt und er daher von der Versicherungspflicht nach KVG auszunehmen ist.</w:t>
      </w:r>
    </w:p>
    <w:p>
      <w:r>
        <w:t>(…)</w:t>
      </w:r>
    </w:p>
    <w:p>
      <w:r>
        <w:t>Kantonsgericht Appenzell I.Rh., Verwaltungsgericht, Entscheid V 2-2019 vom 20. August 2019</w:t>
      </w:r>
    </w:p>
    <w:p>
      <w:r>
        <w:t>Geschäftsbericht 2019 – Anhang</w:t>
      </w:r>
    </w:p>
    <w:p>
      <w:r>
        <w:t>53 - 65</w:t>
      </w:r>
    </w:p>
    <w:p>
      <w:r>
        <w:rPr>
          <w:b/>
        </w:rPr>
        <w:t>E. 3</w:t>
      </w:r>
    </w:p>
    <w:p>
      <w:r>
        <w:t>Der Bezirksrat Rüte teilte A. mit Schreiben vom 3. Juli 2017 mit, dass die Umzonung der Parzelle Nr. y mit der Überarbeitung der Zonenplanung in den Jahren 2006 bis 2008 er- folgt sei, wobei die rechtlichen Vorgaben eingehalten worden seien.</w:t>
      </w:r>
    </w:p>
    <w:p>
      <w:r>
        <w:rPr>
          <w:b/>
        </w:rPr>
        <w:t>E. 3.1</w:t>
      </w:r>
    </w:p>
    <w:p>
      <w:r>
        <w:t>Die Beschwerdegegnerin beruft sich im Wesentlichen darauf, dass die drei Positionen Geschäftswagen, Verpflegung und Fixspesen entweder bei der Steuererklärung nicht als Einkünfte deklariert gewesen und/oder vom Arbeitgeber darauf keine AHV-/IV-Bei- träge entrichtet worden seien.</w:t>
      </w:r>
    </w:p>
    <w:p>
      <w:r>
        <w:t>Der massgebende Lohn bestimmt sich nach Art. 5 AHVG. Dabei kommt es nicht auf die Auffassung von Arbeitgeber und Arbeitnehmer an. Es steht ihnen nicht frei, ob sie etwas der AHV-Pflicht unterstellen wollen oder nicht. Vielmehr definiert das Gesetz, was zum massgebenden Lohn gehört und was nicht. Somit ist nicht in erster Linie zent- ral, was der Beschwerdeführer in der Steuererklärung deklariert und/oder der Arbeitge- ber sozialversicherungsrechtlich abgerechnet hat, sondern die Qualifikation ist auf- grund der tatsächlichen Verhältnisse zu beurteilen. Dabei kann die Deklaration in der Steuererklärung und die AHV-Deklaration des Arbeitgebers ein Indiz bei der Qualifika- tion sein, nicht aber einzig und alleiniges Kriterium.</w:t>
      </w:r>
    </w:p>
    <w:p>
      <w:r>
        <w:t>Geschäftsbericht 2019 – Anhang 64 - 65</w:t>
      </w:r>
    </w:p>
    <w:p>
      <w:r>
        <w:rPr>
          <w:b/>
        </w:rPr>
        <w:t>E. 3.2</w:t>
      </w:r>
    </w:p>
    <w:p>
      <w:r>
        <w:t>Der Berufungsbeklagte hat zum Zeitpunkt des Abbruchs des Manövers die erhebliche Gefahr für den Gegenverkehr objektiv bereits geschaffen. Indem er trotz fehlender Sicht auf den Gegenverkehr zum Überholen des vor ihm fahrenden Fahrzeugs ange- setzt hat, hat er krass sorgfaltswidrig und damit rücksichtslos gehandelt. Besondere Umstände, die das Verhalten des Berufungsbeklagten in einem milderen Licht erschei- nen lassen, sind nicht ersichtlich (vgl. Urteil des Bundesgerichts 6B_462/2019 vom 23. August 2019 E. 1.3).</w:t>
      </w:r>
    </w:p>
    <w:p>
      <w:r>
        <w:t>Entsprechend ist der subjektive Tatbestand der groben Verkehrsregelverletzung nach Art. 90 Abs. 2 SVG erfüllt.</w:t>
      </w:r>
    </w:p>
    <w:p>
      <w:r>
        <w:t>4.</w:t>
      </w:r>
    </w:p>
    <w:p>
      <w:r>
        <w:rPr>
          <w:b/>
        </w:rPr>
        <w:t>E. 3.2.1</w:t>
      </w:r>
    </w:p>
    <w:p>
      <w:r>
        <w:t>Zum Begriff des massgebenden Lohns hat das Bundesamt für Sozialversicherungen eine Wegleitung (folgend: WML) herausgegeben. Gemäss Rz. 2067 gehören regel- mässige Naturalleistungen zum massgebenden Lohn. Als Naturaleinkommen gilt unter anderem das Überlassen des Geschäftswagens zu privaten Zwecken (Rz. 2078 WML). Die private Nutzung des Geschäftswagens wird von der Ausgleichskasse gleich bewer- tet wie von den Steuerbehörden (Rz. 2079 WML). Gemäss Wegleitung zum Ausfüllen des Lohnausweises bzw. der Rentenbescheinigung (Formular 11) der Schweizerischen Steuerkonferenz und der Eidgenössischen Steuerverwaltung ist der Wert anzugeben, der dem Arbeitnehmer durch die private Nutzung des Geschäftswagens zufliesst (Rz. 21). Übernimmt der Arbeitgeber sämtliche Kosten und hat der Arbeitnehmer ledig- lich die Benzinkosten für grössere Privatfahrten am Wochenenden oder in den Ferien zu bezahlen, so beträgt der zu deklarierende Betrag pro Monat 0.8% des Kaufpreises, inklusive sämtlichen Sonderausstattungen (Rz. 21).</w:t>
      </w:r>
    </w:p>
    <w:p>
      <w:r>
        <w:rPr>
          <w:b/>
        </w:rPr>
        <w:t>E. 3.2.2</w:t>
      </w:r>
    </w:p>
    <w:p>
      <w:r>
        <w:t>Der Beschwerdeführer macht geltend, dass er das Geschäftsauto stets privat nutzen durfte. Dies hat der Arbeitgeber gemäss Telefonat vom 18. Dezember 2017 gegenüber der Beschwerdegegnerin bestätigt. Gemäss Telefonnotiz hat der Arbeitgeber ausge- führt, dass es zutreffe, dass der Beschwerdeführer ein Geschäftsauto habe und dass er es auch zu privaten Zwecken nutzen dürfe. Selbstverständlich lege der damit den Arbeitsweg zurück, aber eben auch private Fahrten. Für die Fahrten in die Ferien wäre es aber nicht gedacht. Diese Regelung bestünde seit Jahren und sei nirgends schrift- lich festgehalten. Am 2. Mai 2018 kam es zu einem weiteren Telefonat der Beschwer- degegnerin mit dem Arbeitgeber. Dabei hat der Geschäftsführer ausgeführt, dass der Beschwerdeführer im Zeitpunkt des Unfalls einen Brückenwagen gefahren habe. Er sei mit dem Fahrzeug zu 90% von zu Hause zum Magazin gefahren. Die Fahrzeuge wür- den nicht zu privaten Zwecken verwendet werden. Die erste Auskunft des Arbeitgebers belegt klar, dass das Geschäftsfahrzeug für den privaten Gebrauch zur Verfügung stand. Die zweite Auskunft erscheint im Zusammenhang mit dem Lieferwagen getätigt worden zu sein, welcher der Beschwerdeführer am Tag des Unfalls gefahren hatte. Da der Arbeitgeber ausdrücklich bestätigt hat, dass das Geschäftsfahrzeug seit vielen Jah- ren vom Beschwerdeführer genutzt werden kann, gehört der Privatanteil zum massge- benden Lohn gemäss Art. 5 AHVG. Wie hoch dieser aufzurechnende Privatanteil ist, lässt sich aufgrund der vorliegenden Unterlagen nicht bestimmen. Insbesondere fehlen Angaben zum Kaufpreis des Fahrzeugs. Die Beschwerdegegnerin hat diesbezüglich weitere Abklärungen zu tätigen und den Lohnanteil zu bestimmen.</w:t>
      </w:r>
    </w:p>
    <w:p>
      <w:r>
        <w:rPr>
          <w:b/>
        </w:rPr>
        <w:t>E. 3.3</w:t>
      </w:r>
    </w:p>
    <w:p>
      <w:r>
        <w:t>Es liegen somit keine Umstände vor, welche es rechtfertigen würden, vom bundes- rechtlichen Grundsatz, dass die Solarenergienutzung ästhetischen Gründen vorgeht, abzuweichen.</w:t>
      </w:r>
    </w:p>
    <w:p>
      <w:r>
        <w:t>Die Beschwerde ist deshalb gutzuheissen. Der Entscheid der Standeskommission vom 18. September 2018 sowie der Entscheid der Baukommission Inneres Land Al vom 8. Juni 2018 in Bezug auf die Projektänderung sind aufzuheben.</w:t>
      </w:r>
    </w:p>
    <w:p>
      <w:r>
        <w:t>Die verfügende Behörde ist folglich anzuweisen, das Projektänderungsgesuch vom 22. März 2018 auf der Parzelle X. bezüglich Einordnung in das Orts- und Strassenbild zu bewilligen. Die Prüfung, ob die Baubewilligung auch baupolizeilich - zum Beispiel bezüglich Blendwirkung - erteilt werden kann, obliegt der Baubewilligungsbehörde.</w:t>
      </w:r>
    </w:p>
    <w:p>
      <w:r>
        <w:t>(…)</w:t>
      </w:r>
    </w:p>
    <w:p>
      <w:r>
        <w:t>Kantonsgericht Appenzell I.Rh., Verwaltungsgericht, Entscheid V 20-2018 vom 24. Juni 2019</w:t>
      </w:r>
    </w:p>
    <w:p>
      <w:r>
        <w:t>Geschäftsbericht 2019 – Anhang 46 - 65</w:t>
      </w:r>
    </w:p>
    <w:p>
      <w:r>
        <w:rPr>
          <w:b/>
        </w:rPr>
        <w:t>E. 3.3.1</w:t>
      </w:r>
    </w:p>
    <w:p>
      <w:r>
        <w:t>Gemäss Art. 11 AHVV werden Verpflegung und Unterkunft der Arbeitnehmer im Be- trieb mit Fr. 33.00 bewertet. Gewährt der Arbeitgeber nicht volle Verpflegung und Un- terkunft, so beträgt der Ansatz für ein Mittagessen Fr. 10.00.</w:t>
      </w:r>
    </w:p>
    <w:p>
      <w:r>
        <w:rPr>
          <w:b/>
        </w:rPr>
        <w:t>E. 3.3.2</w:t>
      </w:r>
    </w:p>
    <w:p>
      <w:r>
        <w:t>Der Beschwerdeführer macht geltend, dass am Mittag jeweils die Frau des Chefs ge- kocht habe oder Essen über die Gasse auf Geschäftskosten besorgt worden sei. Ge- mäss erster Auskunft des Geschäftsführers habe seine Frau ein bis zwei Mal pro Wo- che für gewisse Leute, darunter der Beschwerdeführer, gekocht. Dafür hätten die Mit- arbeiter nichts bezahlen müssen. Wenn sie nicht gekocht habe, hätten die Leute An- spruch auf Take away-Essen auf Geschäftskosten gehabt. Bei der zweiten Auskunft bestätigte der Arbeitgeber, dass der Beschwerdeführer ein bis zwei Mal bei ihnen ge- gessen habe und ergänzte, dass in diesen ein bis zwei Mal auch eine Bratwurst geholt und über die Firma abgerechnet worden sei. Aufgrund dieser Aussagen ist ersichtlich,</w:t>
      </w:r>
    </w:p>
    <w:p>
      <w:r>
        <w:t>Geschäftsbericht 2019 – Anhang</w:t>
      </w:r>
    </w:p>
    <w:p>
      <w:r>
        <w:t>65 - 65 dass der Beschwerdeführer regelmässig vom Arbeitgeber Verpflegung im Betrieb er- halten respektive vergütet bekommen hatte. Allerdings ist unklar, ob er die ganze Wo- che auf Geschäftskosten Verpflegung erhalten hatte oder ob sich der Bezug von Take- away-Essen nur dann ergab, wenn die Frau des Geschäftsführers nicht gekocht hatte, also wenige Male pro Woche. Das effektive Ausmass der Verpflegung durch den Ar- beitgeber im Betrieb ist deshalb durch die Beschwerdegegnerin abzuklären und an- schliessend zum Ansatz von Fr. 10.00 pro Mittagessen aufzurechnen.</w:t>
      </w:r>
    </w:p>
    <w:p>
      <w:r>
        <w:rPr>
          <w:b/>
        </w:rPr>
        <w:t>E. 3.4</w:t>
      </w:r>
    </w:p>
    <w:p>
      <w:r>
        <w:t>Das Fotoblatt der Polizei vom 3. Januar 2016 enthält Fotos vom 1. November 2015, wel- che um 08.16 Uhr, mithin rund drei Stunden nach dem Vorfall aufgenommen wurden. Auf keinem Foto sind ein beschädigter Plastikpfahl oder Schottersteine auf der Strasse</w:t>
      </w:r>
    </w:p>
    <w:p>
      <w:r>
        <w:t>Geschäftsbericht 2019 – Anhang</w:t>
      </w:r>
    </w:p>
    <w:p>
      <w:r>
        <w:t>39 - 65 erkennbar. Die Polizei hat lediglich die mutmassliche Fahrspur des Berufungsklägers mit Markierungen kenntlich gemacht. Weitergehende Abklärungen wurden nicht getätigt. So wurde zum Beispiel der Lokführer, der die Situation gemeldet hat, nicht befragt. Auch wurden am Fahrzeug des Berufungsklägers keine Spuren gesichert, welche eine Kolli- sion mit dem Plastikpfahl beweisen würden. Daran ändern auch die Abklärungen des Bezirksgerichts beim Landesbauamt nichts. Es ist nicht ersichtlich, warum die Polizei die angetroffene Situation nicht dokumentiert hat. Dass die von der Polizei markierte Fahr- spur tatsächlich von der Fahrt des Berufungsklägers stammt, ist nicht erstellt. Es ist glaubwürdig, wenn der Berufungskläger ausführt, dass der Plastikpfahl bei einer Kollision mit dem Fahrzeug wahrscheinlich vollständig zersplittert wäre. Somit beruht der Vorwurf, der Berufungskläger habe einen Sachschaden verursacht einzig auf den Aussagen der Polizisten, welche aber die angetroffene Situation, wenn sie denn so gewesen wäre, ohne Probleme hätten dokumentieren können. Somit kann dem Berufungskläger nicht nachgewiesen werden, dass er einen Sachschaden verursacht hat. Demzufolge hatte er auch keine Meldepflicht gestützt auf Art. 51 Abs. 3 SVG.</w:t>
      </w:r>
    </w:p>
    <w:p>
      <w:r>
        <w:t>4.</w:t>
      </w:r>
    </w:p>
    <w:p>
      <w:r>
        <w:rPr>
          <w:b/>
        </w:rPr>
        <w:t>E. 3.4.1</w:t>
      </w:r>
    </w:p>
    <w:p>
      <w:r>
        <w:t>Unkosten sind Auslagen, die dem Arbeitnehmer bei der Ausführung seiner Arbeiten entstehen. Unkostenentschädigungen gehören nicht zum massgebenden Lohn. Keine Unkostenentschädigungen sind regelmässige Entschädigungen für die Fahrt des Ar- beitnehmers vom Wohnort zum gewöhnlichen Arbeitsort sowie für die übliche Verpfle- gung am Wohnort oder am gewöhnlichen Arbeitsort; sie gehören grundsätzlich zum massgebenden Lohn (Art. 9 AHVV). Unkosten entstehen erst dann, wenn der Arbeit- nehmer infolge seiner beruflichen Tätigkeit zu vermehrten Ausgaben gezwungen wird (vgl. Kieser, Alters- und Hinterlassenenversicherung, 3. Auflage, 2012, Art. 5 N 174). Die Anerkennung von Unkosten durch die Steuerbehörden ist für die Ausgleichskassen nicht verbindlich (Rz. 3011 WML). Ist es nicht möglich, die effektiven Unkosten zu bele- gen und liegt kein von der zuständigen Steuerbehörde genehmigtes Spesenreglement vor, ist der Pauschalbetrag, der im Lohnausweis für die Steuererklärung angegeben ist, als Unkostenersatz zu berücksichtigen, sofern dieser nicht offensichtlich übersetzt ist (Rz. 3013 WML).</w:t>
      </w:r>
    </w:p>
    <w:p>
      <w:r>
        <w:rPr>
          <w:b/>
        </w:rPr>
        <w:t>E. 3.4.2</w:t>
      </w:r>
    </w:p>
    <w:p>
      <w:r>
        <w:t>Der Beschwerdeführer hat monatliche Pauschalspesen von Fr. 350.00 erhalten. Wofür diese genau ausgerichtet wurden, ergibt sich aus den Akten der Beschwerdegegnerin nicht. Den beiden telefonischen Nachfragen beim Arbeitgeber ist diesbezüglich nichts zu entnehmen. Der Beschwerdeführer hat gegenüber der Beschwerdegegnerin ausge- führt, dass er sämtliche Auslagen als sogenannte «Spesen mit Beleg» abrechnen könne und er auch im Zusammenhang mit dem Geschäftsfahrzeug keinerlei Ausgaben habe, da Service, Reparaturen, Tankbezüge und Waschanlage-Kosten über Spesen mit Beleg abgerechnet würden. Es ist aufgrund der Akten nicht klar, wofür die Pau- schalspesen effektiv ausgerichtet wurden. Aufgrund fehlender Anhaltspunkte sind Ab- klärungen zu tätigen. Sollten den Pauschalspesen tatsächlich keine Unkosten gegen- überstehen, da diese bereits über «Spesen mit Beleg» abgerechnet wurden, wären die Spesen beim massgebenden Lohn ganz oder teilweise aufzurechnen.</w:t>
      </w:r>
    </w:p>
    <w:p>
      <w:r>
        <w:t>4. Zusammenfassend kommt das Gericht zum Schluss, dass bei den drei umstrittenen Po- sitionen durchaus Lohnbestandteile enthalten sein könnten. Die Auskunft des Arbeitge- bers legt nahe, dass es sich (zumindest teilweise) um massgebenden Lohn gemäss Art. 5 AHVG handelt. Der genaue Umfang ist von der Beschwerdegegnerin abzuklären, weshalb die Angelegenheit gemäss Art. 26 Abs. 2 VerwGG zurückgewiesen wird.</w:t>
      </w:r>
    </w:p>
    <w:p>
      <w:r>
        <w:t>(…)</w:t>
      </w:r>
    </w:p>
    <w:p>
      <w:r>
        <w:t>Kantonsgericht Appenzell I.Rh., Verwaltungsgericht, Entscheid V 8-2019 vom 5. November 2019</w:t>
      </w:r>
    </w:p>
    <w:p>
      <w:r>
        <w:rPr>
          <w:b/>
        </w:rPr>
        <w:t>E. 3.5</w:t>
      </w:r>
    </w:p>
    <w:p>
      <w:r>
        <w:t>Zusammenfassend hat der Beschwerdeführer mit dem langen Zuwarten seiner Lohneinforderungen seine Schadenminderungspflicht verletzt, weshalb die Verfügung vom 29. Oktober 2018 sowie der Einspracheentscheid vom 17. Dezember 2018 nicht zu beanstanden sind. Die Beschwerde ist folglich abzuweisen.</w:t>
      </w:r>
    </w:p>
    <w:p>
      <w:r>
        <w:t>(…)</w:t>
      </w:r>
    </w:p>
    <w:p>
      <w:r>
        <w:t>Kantonsgericht Appenzell I.Rh., Verwaltungsgericht, Entscheid V 3-2019 vom 21. Mai 2019</w:t>
      </w:r>
    </w:p>
    <w:p>
      <w:r>
        <w:t>Geschäftsbericht 2019 – Anhang 32 - 65</w:t>
      </w:r>
    </w:p>
    <w:p>
      <w:r>
        <w:rPr>
          <w:b/>
        </w:rPr>
        <w:t>E. 4</w:t>
      </w:r>
    </w:p>
    <w:p>
      <w:r>
        <w:t>Am 10. August 2018 reichte der Rechtsvertreter von A. (folgend: Kläger) beim Kantons- gericht, Abteilung Verwaltungsgericht, Klage gegen den Bezirk Rüte (folgend: Beklagter) ein und stellte das Rechtsbegehren, der Beklagte sei zu verpflichten, dem Kläger einen nach Abschluss des Beweisverfahrens zu beziffernden Betrag, mindestens aber Fr. 500’000.00 nebst Zins zu 5% seit 20. Mai 2017 zu bezahlen.</w:t>
      </w:r>
    </w:p>
    <w:p>
      <w:r>
        <w:t>Geschäftsbericht 2019 – Anhang 22 - 65</w:t>
      </w:r>
    </w:p>
    <w:p>
      <w:r>
        <w:rPr>
          <w:b/>
        </w:rPr>
        <w:t>E. 4.1</w:t>
      </w:r>
    </w:p>
    <w:p>
      <w:r>
        <w:t>Nach Art. 47 StGB misst das Gericht die Strafe nach dem Verschulden des Täters zu. Es berücksichtigt das Vorleben und die persönlichen Verhältnisse sowie die Wirkung der Strafe auf das Leben des Täters. Das Verschulden wird nach der Schwere der Ver- 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rPr>
          <w:b/>
        </w:rPr>
        <w:t>E. 4.2</w:t>
      </w:r>
    </w:p>
    <w:p>
      <w:r>
        <w:t>Art. 90 Abs. 2 SVG sieht für eine grobe Verletzung der Verkehrsregeln Freiheitsstrafe bis zu drei Jahren oder Geldstrafe vor.</w:t>
      </w:r>
    </w:p>
    <w:p>
      <w:r>
        <w:t>Geschäftsbericht 2019 – Anhang 58 - 65</w:t>
      </w:r>
    </w:p>
    <w:p>
      <w:r>
        <w:t>Für die Bemessung der Tagessatzhöhe der Geldstrafe ist auf Art. 34 Abs. 2 StGB ab- zustellen. Demnach beträgt ein Tagessatz höchstens CHF 3’000.00. Das Gericht be- stimmt die Höhe des Tagessatzes unter anderem nach den persönlichen und wirt- schaftlichen Verhältnissen des Täters, namentlich nach Einkommen und Vermögen. Die Geldstrafe ist bedingt auszusprechen (Art. 42 Abs. 1 StGB), wobei die Probezeit auf zwei Jahre festgesetzt wird (Art. 44 Abs. 1 StGB).</w:t>
      </w:r>
    </w:p>
    <w:p>
      <w:r>
        <w:t>Wird für die Geldstrafe der bedingte Vollzug gewährt, wird diese nach Art. 42 Abs. 4 StGB zusätzlich mit einer Busse nach Art. 106 StGB verbunden. Das Gericht bemisst Busse und Ersatzfreiheitsstrafe je nach den Verhältnissen des Täters so, dass dieser die Strafe erleidet, die seinem Verschulden angemessen ist (Art. 106 Abs. 3 StGB). Die Verbindungsbusse sollte nach bundesgerichtlicher Rechtsprechung grundsätzlich ei- nen Fünftel der Gesamtstrafe nicht übersteigen (vgl. BGE 135 V 188 E. 3.4.4.).</w:t>
      </w:r>
    </w:p>
    <w:p>
      <w:r>
        <w:rPr>
          <w:b/>
        </w:rPr>
        <w:t>E. 4.3</w:t>
      </w:r>
    </w:p>
    <w:p>
      <w:r>
        <w:t>Aufgrund der Tatumstände, des Verschuldens und der guten finanziellen Verhältnisse des Berufungsklägers (CHF 20’000.00 bis 30’000.00 Einkommen pro Monat) ist vorlie- gend eine Geldstrafe von 15 Tagessätzen zu je CHF 460.00 angemessen. Die vom Berufungsbeklagten aufgeführten Gründe, weshalb die Busse auf CHF 1’000.00 fest- zulegen sei, nämlich die sich aus dem Urteil noch ergebenden Konsequenzen und die massive Belastung aufgrund der von ihm behaupteten langen Verfahrensdauer, vermö- gen eine Reduktion der Busse um CHF 380.00 nicht zu rechtfertigen. Vielmehr erach- tet das Gericht eine Verbindungsbusse von CHF 1’380.00 bzw. einer Ersatzfreiheits- strafe von 14 Tagen bei deren schuldhafter Nichtbezahlung als angemessen.</w:t>
      </w:r>
    </w:p>
    <w:p>
      <w:r>
        <w:t>Die Berufung ist folglich gutzuheissen.</w:t>
      </w:r>
    </w:p>
    <w:p>
      <w:r>
        <w:t>III.</w:t>
      </w:r>
    </w:p>
    <w:p>
      <w:r>
        <w:t>1.</w:t>
      </w:r>
    </w:p>
    <w:p>
      <w:r>
        <w:rPr>
          <w:b/>
        </w:rPr>
        <w:t>E. 4.4</w:t>
      </w:r>
    </w:p>
    <w:p>
      <w:r>
        <w:t>Wie oben ausgeführt, hat der Berufungskläger keinen nachweisbaren Sachschaden ver- ursacht und hat demzufolge auch keine Verhaltenspflicht bei einem Unfall (Fahrerflucht) verletzt. Letzten Endes hat der Berufungskläger lediglich die Beherrschung über sein Fahrzeug verloren und dabei einzig und allein einen Sachschaden am gelenkten Fahr- zeug verursacht. Aufgrund dieser Umstände musste der Berufungskläger auch nicht mit der Anordnung einer Alkoholkontrolle rechnen. Der geltend gemachte Nachtrunk kann dem Berufungskläger somit nicht vorgehalten werden. Der Einwand der Berufungsbe- klagten, die Polizei führe heutzutage systematische Alkoholkontrollen durch, vermag nicht zu begründen, dass der Berufungskläger mit einer solchen Kontrolle hätte rechnen</w:t>
      </w:r>
    </w:p>
    <w:p>
      <w:r>
        <w:t>Geschäftsbericht 2019 – Anhang 40 - 65</w:t>
      </w:r>
    </w:p>
    <w:p>
      <w:r>
        <w:t>müssen. Andernfalls müsste jeder Verkehrsteilnehmer mit einer solchen Kontrolle rech- nen und dürfte - zuhause angekommen - keinen Alkohol konsumieren. Diese Auffassung ist daher nicht überzeugend. Der Berufungskläger hat die Anordnung einer Alkoholprobe oder deren Zweck nicht vereitelt.</w:t>
      </w:r>
    </w:p>
    <w:p>
      <w:r>
        <w:t>5. Gemäss den obigen Erwägungen hat sich der Berufungskläger des Nichtbeherrschens des Fahrzeugs gemäss Art. 31 Abs. 1 SVG schuldig gemacht und ist gemäss Art. 90 Abs. 1 SVG zu bestrafen. Die Strafandrohung von Art. 90 Abs. 1 SVG lautet auf Busse. Gemäss Art. 102 Abs. 1 SVG i.V.m. Art. 106 Abs. 1 StGB ist der Höchstbetrag der Busse Fr. 10’000.00. Der Richter spricht im Urteil für den Fall, dass die Busse schuldhaft nicht bezahlt wird, eine Ersatzfreiheitsstrafe von mindestens einem Tag und höchstens drei Monaten aus (Art. 106 Abs. 2 StGB). Das Gericht bemisst die Busse und Ersatzfreiheits- strafe je nach den Verhältnissen des Täters so, dass dieser die Strafe erleidet, die sei- nem Verschulden angemessen ist (Art. 106 Abs. 3 StGB). Das Gericht hält in Berück- sichtigung des tiefen Einkommens des Berufungsklägers von jährlich rund Fr. 35’000.00 und dessen Verschulden, welches als leicht einzustufen ist, eine Busse von Fr. 400.00 als angemessen. Die Ersatzfreiheitsstrafe ist praxisgemäss ausgehend von einem Äqui- valent von Fr. 100.00 pro Tag auf 4 Tage festzusetzen.</w:t>
      </w:r>
    </w:p>
    <w:p>
      <w:r>
        <w:t>6.</w:t>
      </w:r>
    </w:p>
    <w:p>
      <w:r>
        <w:rPr>
          <w:b/>
        </w:rPr>
        <w:t>E. 5</w:t>
      </w:r>
    </w:p>
    <w:p>
      <w:r>
        <w:t>Der Rechtsvertreter des Beklagten reichte am 30. Oktober 2018 die Klageantwort ein, beantragte die Klageabweisung und stellte den prozessualen Antrag, das Verfahren sei auf die Frage der Verjährung zu beschränken.</w:t>
      </w:r>
    </w:p>
    <w:p>
      <w:r>
        <w:rPr>
          <w:b/>
        </w:rPr>
        <w:t>E. 6</w:t>
      </w:r>
    </w:p>
    <w:p>
      <w:r>
        <w:t>Mit prozessleitender Verfügung vom 31. Oktober 2018 wurde dem prozessualen Antrag des Beklagten entsprochen und das Verfahren wurde im Sinne von Art. 30 Abs. 2 VerwGG i.V.m. Art. 125 lit. a ZPO auf die Frage der Verjährung beschränkt. Zudem wurde ein zweiter Schriftenwechsel angeordnet.</w:t>
      </w:r>
    </w:p>
    <w:p>
      <w:r>
        <w:t>(…)</w:t>
      </w:r>
    </w:p>
    <w:p>
      <w:r>
        <w:t>II.</w:t>
      </w:r>
    </w:p>
    <w:p>
      <w:r>
        <w:t>1. Nach Art. 30 Abs. 1 lit. a VerwGG beurteilt das Verwaltungsgericht öffentlich-rechtliche Entschädigungsansprüche gegenüber öffentlich-rechtlichen Körperschaften, vorbehält- lich der Zuständigkeit der Standeskommission. Die Standeskommission entscheidet nach Art. 62 VerwVG über öffentlich-rechtliche Entschädigungsansprüche gegenüber dem Kanton und seinen Anstalten.</w:t>
      </w:r>
    </w:p>
    <w:p>
      <w:r>
        <w:t>Entschädigungsansprüche gegenüber den Bezirken unterliegen dem Klageverfahren vor Verwaltungsgericht (vgl. Landsgemeindemandat 2014, Botschaft zum VerwGG, S. 25).</w:t>
      </w:r>
    </w:p>
    <w:p>
      <w:r>
        <w:t>Das Verwaltungsgericht ist entsprechend zur Beurteilung der vorliegenden Klage gegen den Bezirk Rüte zuständig.</w:t>
      </w:r>
    </w:p>
    <w:p>
      <w:r>
        <w:t>(…)</w:t>
      </w:r>
    </w:p>
    <w:p>
      <w:r>
        <w:t>III.</w:t>
      </w:r>
    </w:p>
    <w:p>
      <w:r>
        <w:t>1.</w:t>
      </w:r>
    </w:p>
    <w:p>
      <w:r>
        <w:rPr>
          <w:b/>
        </w:rPr>
        <w:t>E. 6.1</w:t>
      </w:r>
    </w:p>
    <w:p>
      <w:r>
        <w:t>Schliesslich bringt der Berufungskläger vor, dass die Berufungsbeklagte die Strafunter- suchung nicht sorgfältig und unvoreingenommen durchgeführt habe. Sie habe überhaupt gar keine Untersuchungshandlung selber vorgenommen. Sie habe lediglich die Akten der Polizei gesammelt und dem Gericht damit eine Anklage vorgelegt. Er sei indessen von der Berufungsbeklagten gar nie selber befragt worden. Das Gutachten beim IRM sei durch die Polizei eingeholt worden, obschon die Staatsanwaltschaft dafür zuständig sei. Zudem sei dem Berufungskläger diesbezüglich das rechtliche Gehör nicht gewährt wor- den. Es gebe vorliegend auch keine Anklage zum subjektiven Tatbestand.</w:t>
      </w:r>
    </w:p>
    <w:p>
      <w:r>
        <w:rPr>
          <w:b/>
        </w:rPr>
        <w:t>E. 6.2</w:t>
      </w:r>
    </w:p>
    <w:p>
      <w:r>
        <w:t>Aus der Anklage geht grundsätzlich hervor, was dem Berufungskläger vorgeworfen wird, auch wenn der subjektive Tatbestand nicht ausgeführt worden ist. Jedoch hätte die Staatsanwaltschaft eine Einvernahme des Beschuldigten durchführen müssen (…). Mit dem Urteil des Bezirksgerichts und dem vorliegenden Urteil erfolgten in fast allen Punk- ten Freisprüche. Dem Berufungskläger verbleibt einzig ein Schuldspruch wegen Nichtbe- herrschen des Fahrzeugs als einfache Verkehrsregelverletzung gemäss Art. 90 Abs. 1 SVG. Mithin liegt nun lediglich noch eine Übertretung vor. Diese Verurteilung stützt sich auf die Aussage des Berufungsklägers vor beiden Gerichtsinstanzen, dass er beim Ver- such, einem Tier auf der Strasse auszuweichen, auf den Stellriemen der Appenzeller Bahnen gefahren sei. Dieser Sachverhalt wurde vom Berufungskläger somit einge- räumt. Eine Rückweisung an die Berufungsbeklagte zur Durchführung einer erneuten Einvernahme des Berufungsklägers ist weder aus prozessökonomischen Überlegun- gen sinnvoll, noch ist ein Nutzen für den Berufungskläger zu erkennen, zumal das Ver- fahren ohnehin schon lange andauert. Somit entfällt eine Prüfung der übrigen vom Be- rufungskläger gerügten Verfahrensmängel seitens der Staatsanwaltschaft.</w:t>
      </w:r>
    </w:p>
    <w:p>
      <w:r>
        <w:t>(…)</w:t>
      </w:r>
    </w:p>
    <w:p>
      <w:r>
        <w:t>Kantonsgericht Appenzell I.Rh., Zivil- und Strafabtei- lung, Entscheid K 3-2018 vom 2. April 2019</w:t>
      </w:r>
    </w:p>
    <w:p>
      <w:r>
        <w:t>Geschäftsbericht 2019 – Anhang</w:t>
      </w:r>
    </w:p>
    <w:p>
      <w:r>
        <w:t>41 - 65</w:t>
      </w:r>
    </w:p>
    <w:p>
      <w:r>
        <w:rPr>
          <w:b/>
        </w:rPr>
        <w:t>E. 11</w:t>
      </w:r>
    </w:p>
    <w:p>
      <w:r>
        <w:t>Mai Fr. 551.27, am 1. Juni Fr. 1’500.00 und am 21. Juni 2016 Fr. 16’243.72, womit erst die Löhne Oktober 2015 bis Februar 2016 beglichen waren. Der Lohn für März 2016 wurde erst mit letzter Teilzahlung vom 28. September 2016 beglichen. Der Lohn für April 2016 wurde bis Ende 2016 nicht vollständig beglichen, es blieb bei einem Aus- stand von Fr. 1’200.00. Trotzdem blieb der Beschwerdeführer untätig, arbeitete aber weiter für die Arbeitgeberin. Er hat somit einen längeren Lohnaufschub offensichtlich hingenommen. Aufgrund dieser massiven Höhe der Ausstände wäre der Beschwerde- führer jedenfalls spätestens bis Ende 2016 zu weitergehenden Schritten verpflichtet gewesen, zumal jedenfalls bei einem während sechs Monaten dauernden Ausstand ein tatenloses Zuwarten nicht mehr als objektiv verständlich zu werten ist (vgl. 8C_682/2009 vom 23. Oktober 2009 E. 4.2).</w:t>
      </w:r>
    </w:p>
    <w:p>
      <w:r>
        <w:rPr>
          <w:b/>
        </w:rPr>
        <w:t>E. 16</w:t>
      </w:r>
    </w:p>
    <w:p>
      <w:r>
        <w:t>Januar 2019 ab. Es begründet dies im Wesentlichen damit, dass A. in der Schweiz wohne und er unter anderem eine schweizerische AHV-Rente beziehe, womit er grundsätzlich in der Schweiz krankenversicherungspflichtig sei. Ein Härtefall liege nicht vor, da seine Versicherung die Kosten für die medizinische Behandlung lediglich ana- log der Tarife des bisherigen Wohnstaats übernehme. Die B. bestätige zwar, dass sie die Kosten analog KVG in voller Höhe übernehme, was sie aber gleichzeitig relativiere, indem sie sage, im Innenverhältnis bestehe ein Versicherungsschutz im Rahmen der bei ihnen abgeschlossenen Tarife.</w:t>
      </w:r>
    </w:p>
    <w:p>
      <w:r>
        <w:t>4. Gegen den Einspracheentscheid des Gesundheits- und Sozialdepartements (folgend: Beschwerdegegnerin) erhob A. (folgend: Beschwerdeführer) am 25. Januar 2019 Be- schwerde beim Kantonsgericht Appenzell I.Rh., Abteilung Verwaltungsgericht, und stellte das Rechtsbegehren, der Einspracheentscheid sei aufzuheben und er sei von der Krankenversicherungspflicht gemäss Art. 2 Abs. 8 KVV zu befreien.</w:t>
      </w:r>
    </w:p>
    <w:p>
      <w:r>
        <w:t>(…)</w:t>
      </w:r>
    </w:p>
    <w:p>
      <w:r>
        <w:t>Geschäftsbericht 2019 – Anhang</w:t>
      </w:r>
    </w:p>
    <w:p>
      <w:r>
        <w:t>47 - 65 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