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ZVE.2024.45 vom 26. Juni 2025</w:t>
      </w:r>
    </w:p>
    <w:p>
      <w:r>
        <w:t>Ag Zivilgericht, 2025-06-26, DE</w:t>
      </w:r>
    </w:p>
    <w:p>
      <w:r>
        <w:rPr>
          <w:b/>
        </w:rPr>
        <w:t xml:space="preserve">Quelle: </w:t>
      </w:r>
      <w:r>
        <w:t>https://mcp.opencaselaw.ch/entscheid/ag_zivilgericht_ZVE.2024.45</w:t>
      </w:r>
    </w:p>
    <w:p>
      <w:r>
        <w:t>FR: AG_ZIVILGERICHT ZVE.2024.45 du 26 juin 2025</w:t>
      </w:r>
    </w:p>
    <w:p>
      <w:r>
        <w:t>IT: AG_ZIVILGERICHT ZVE.2024.45 del 26 giugno 2025</w:t>
      </w:r>
    </w:p>
    <w:p>
      <w:pPr>
        <w:pStyle w:val="Heading2"/>
      </w:pPr>
      <w:r>
        <w:t>Erwägungen</w:t>
      </w:r>
    </w:p>
    <w:p>
      <w:r>
        <w:rPr>
          <w:b/>
        </w:rPr>
        <w:t>E. 8.1</w:t>
      </w:r>
    </w:p>
    <w:p>
      <w:r>
        <w:t>Der Kläger bringt weiter vor (Berufung Ziff. 11), aufgrund der schweren Pflichtverletzung der Beklagten (durch schikanöse Verschleierungs- und Verzögerungstaktik im Zusammenhang mit der Akteneinsicht) seien ihr sämtliche Gerichts- und Parteikosten aufzuerlegen.</w:t>
      </w:r>
    </w:p>
    <w:p>
      <w:r>
        <w:rPr>
          <w:b/>
        </w:rPr>
        <w:t>E. 8.2</w:t>
      </w:r>
    </w:p>
    <w:p>
      <w:r>
        <w:t>Ob der Beklagten ein Fehlverhalten vorzuwerfen ist, kann offenbleiben. Der Kläger ist nach der Schlichtungsverhandlung – und damit nach Herausgabe der Belege – an das Bezirksgericht gelangt und hat das erstinstanzliche Urteil schliesslich an das Obergericht weitergezogen, womit er den weite- ren Aufwand selbst generiert hat. Zudem hat der Kläger den "unnötigen Aufwand" nirgendwo beziffert. Die Berufung ist demnach auch diesbezüg- lich abzuweisen.</w:t>
      </w:r>
    </w:p>
    <w:p>
      <w:r>
        <w:rPr>
          <w:b/>
        </w:rPr>
        <w:t>E. 9</w:t>
      </w:r>
    </w:p>
    <w:p>
      <w:r>
        <w:t>Zusammenfassend ist die Berufung des Klägers abzuweisen, soweit auf diese einzutreten ist.</w:t>
      </w:r>
    </w:p>
    <w:p>
      <w:r>
        <w:rPr>
          <w:b/>
        </w:rPr>
        <w:t>E. 10</w:t>
      </w:r>
    </w:p>
    <w:p>
      <w:r>
        <w:t>Ausgangsgemäss wird der Kläger für das Berufungsverfahren kostenpflich- tig (Art. 106 Abs. 1 ZPO). Bei einem Kostenstreitwert im Berufungsverfah- ren von Fr. 17'23.95 sind die Gerichtskosten (Entscheidgebühr) auf Fr. 2'320.00 festzusetzen (§ 7 Abs. 1 GebührD). Der Kläger ist zudem zu verpflichten, der Beklagten eine Parteientschädi- gung ausgehend vom Streitwert für das Berufungsverfahren zu bezahlen. Bei einem Kostenstreitwert von Fr. 17'243.95 beträgt die Grundentschädi- gung gemäss § 3 Abs. 1 lit. a AnwT Fr. 4'436.60 (Fr. 1'850.00 + 15 % des Streitwerts). Ausgehend davon und unter Berücksichtigung eines Abzugs von 20 % für die entfallene Verhandlung, eines Rechtsmittelabzugs von</w:t>
      </w:r>
    </w:p>
    <w:p>
      <w:r>
        <w:t>- 18 - 25 % (§ 6 Abs. 2, § 7 Abs. 2 und § 8 AnwT) und einer Auslagenpauschale von 3 % ist die Parteientschädigung auf gerundet Fr. 2'742.00 festzuset- zen. Das Obergericht erkennt: 1. Die Berufung wird abgewiesen, soweit darauf einzutreten ist. 2. Die obergerichtliche Entscheidgebühr von Fr. 2'320.00 wird dem Kläger auferlegt. 3. Der Kläger wird verpflichtet, der Beklagten eine Parteientschädigung für das Berufungsverfahren in der richterlich festgesetzten Höhe von Fr. 2'742.00 (inkl. Auslagen)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17'243.95.</w:t>
      </w:r>
    </w:p>
    <w:p>
      <w:r>
        <w:t>- 19 - Aarau, 26. Juni 2025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