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ZVE.2022.57 vom 14. Februar 2023</w:t>
      </w:r>
    </w:p>
    <w:p>
      <w:r>
        <w:t>Ag Zivilgericht, 2023-02-14, DE</w:t>
      </w:r>
    </w:p>
    <w:p>
      <w:r>
        <w:rPr>
          <w:b/>
        </w:rPr>
        <w:t xml:space="preserve">Quelle: </w:t>
      </w:r>
      <w:r>
        <w:t>https://mcp.opencaselaw.ch/entscheid/ag_zivilgericht_ZVE.2022.57</w:t>
      </w:r>
    </w:p>
    <w:p>
      <w:r>
        <w:t>FR: AG_ZIVILGERICHT ZVE.2022.57 du 14 février 2023</w:t>
      </w:r>
    </w:p>
    <w:p>
      <w:r>
        <w:t>IT: AG_ZIVILGERICHT ZVE.2022.57 del 14 febbraio 2023</w:t>
      </w:r>
    </w:p>
    <w:p>
      <w:pPr>
        <w:pStyle w:val="Heading2"/>
      </w:pPr>
      <w:r>
        <w:t>Erwägungen</w:t>
      </w:r>
    </w:p>
    <w:p>
      <w:r>
        <w:rPr>
          <w:b/>
        </w:rPr>
        <w:t>E. 5.1</w:t>
      </w:r>
    </w:p>
    <w:p>
      <w:r>
        <w:t>Die Klägerin bringt in ihrer Beschwerde (S. 5 Rz. 14) vor, sie habe nie be- hauptet, den Mietzins für den Monat Juli 2021 verrechnet zu haben. Dazu sei sie gar nicht in der Lage, bis der Beklagte eine transparente und nach- vollziehbare Nebenkostenabrechnung vorlegen würde. Hingegen habe sie den Mietzins für den Monat Juli 2021 zurückbehalten, mit der Begründung, diesen bei Vorliegen der verlangten Abrechnung mit den bereits zu viel be- zahlten Beträgen zu verrechnen. Der Beklagte nimmt zur Kenntnis, dass die Klägerin keine Verrechnung er- klären möchte und erwidert, eine rechtskonforme Mietzinshinterlegung sei nie erfolgt (Beschwerdeantwort S. 7 f. Rz. 23).</w:t>
      </w:r>
    </w:p>
    <w:p>
      <w:r>
        <w:rPr>
          <w:b/>
        </w:rPr>
        <w:t>E. 5.2</w:t>
      </w:r>
    </w:p>
    <w:p>
      <w:r>
        <w:t>Mit ihrem jetzigen Vorbringen, sie habe nie behauptet, den Mietzins für den Monat Juli 2021 verrechnet zu haben, sondern sie habe diesen zurückbe- halten, widerspricht die Klägerin ihren bisherigen Behauptungen. Vor Vor- instanz hatte sie geltend gemacht, Verrechnung mit den während der gesamten Mietdauer geleisteten zu hohen Akontozahlungen erklärt zu ha- ben (vgl. act. 57 und 64). Damit gesteht die Klägerin selber zu, dass die noch vor Vorinstanz erhobene Einwendung (Tilgung durch Verrechnung) zu Unrecht erfolgte. Der Vollständigkeit halber sei angemerkt, dass weder offensichtlich ist noch von der Klägerin (rechtzeitig) aufgezeigt wurde, dass die Voraussetzungen für eine Mietzinshinterlegung gemäss Art. 259g OR erfüllt wären. Gemäss besagter Bestimmung muss der Mieter einer unbeweglichen Sache, der die Beseitigung eines Mangels vom Vermieter verlangt, diesem dazu schriftlich eine angemessene Frist setzen und kann ihm androhen, dass er bei unbe- nütztem Ablauf der Frist Mietzinse, die künftig fällig werden, bei einer vom Kanton bezeichneten Stelle hinterlegen wird; er muss auch die Hinterle- gung dem Vermieter schriftlich ankündigen.</w:t>
      </w:r>
    </w:p>
    <w:p>
      <w:r>
        <w:rPr>
          <w:b/>
        </w:rPr>
        <w:t>E. 6</w:t>
      </w:r>
    </w:p>
    <w:p>
      <w:r>
        <w:t>Neu im Beschwerdeverfahren ist das Vorbringen der Klägerin, im vom Be- klagten geforderten Betrag seien pro Monat jeweils Fr. 130.00 für Neben- kosten enthalten. Diese seien aber nicht fällig geworden, da die Lokalität von der Klägerin nach dem 30. Juni 2021 und der Schlüsselabgabe nicht mehr benutzt worden sei (vgl. Beschwerde S. 10 Rz. 31). Dies kann ent- sprechend im Beschwerdeverfahren nicht mehr berücksichtigt werden (vgl. Art. 326 Abs. 1 ZPO).</w:t>
      </w:r>
    </w:p>
    <w:p>
      <w:r>
        <w:t>- 14 -</w:t>
      </w:r>
    </w:p>
    <w:p>
      <w:r>
        <w:rPr>
          <w:b/>
        </w:rPr>
        <w:t>E. 7</w:t>
      </w:r>
    </w:p>
    <w:p>
      <w:r>
        <w:t>Zusammenfassend vermag die Klägerin keine Einwendungen gegen den Bestand der in Betreibung gesetzten Forderung des Beklagten zu bewei- sen. Die Beschwerde erweist sich als unbegründet und ist abzuweisen.</w:t>
      </w:r>
    </w:p>
    <w:p>
      <w:r>
        <w:rPr>
          <w:b/>
        </w:rPr>
        <w:t>E. 8</w:t>
      </w:r>
    </w:p>
    <w:p>
      <w:r>
        <w:t>Die Kosten des obergerichtlichen Verfahrens sind ausgangsgemäss der Klägerin aufzuerlegen (Art. 106 Abs. 1 ZPO). Die Gerichtskosten werden bei einem Streitwert von Fr. 8'960.00 gestützt auf Art. 96 ZPO i.V.m. § 7 Abs. 1 VKD auf Fr. 1'780.00 festgesetzt. Im Übrigen hat die Klägerin dem anwaltlich vertretenen Beklagten dessen angemessene Parteikosten für das Beschwerdeverfahren zu ersetzen. Diese Parteientschädigung ist aus- gehend von einer beim erwähnten Streitwert resultierenden Grundentschä- digung von Fr. 3'022.00 (§ 3 Abs. 1 lit. a Ziff. 4 AnwT) unter Berück- sichtigung eines Abzugs von 20 % wegen fehlender Verhandlung (vgl. § 6 Abs. 1 AnwT), eines Rechtsmittelabzugs von 25 % (§ 8 AnwT), Auslagen von pauschal Fr. 30.00 (§ 13 Abs. 1 AnwT) und 7.7 % Mehrwertsteuer auf Fr. 1'985.10 (= [Fr. 3'022.00 x 0.8 x 0.75 + Fr. 30.00] x 1.077) festzulegen. Das Obergericht erkennt: 1. Die Beschwerde der Klägerin wird abgewiesen. 2. Die Gerichtsgebühr von Fr. 1'780.00 für das obergerichtliche Verfahren wird der Klägerin auferlegt. 3. Die Klägerin wird verpflichtet, dem Beklagten eine Parteientschädigung von Fr. 1'985.10 (inkl. Auslagen und Mehrwertsteuer) zu bezahlen. Zustellung an: [...] R 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w:t>
      </w:r>
    </w:p>
    <w:p>
      <w:r>
        <w:t>- 15 - 30'000.00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8'960.00.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14. Februar 2023 Obergericht des Kantons Aargau Zivilgericht, 1. Kammer Der Präsident: Der Gerichtsschreiber: Brunner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