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ZVE.2022.41 vom 7. November 2022</w:t>
      </w:r>
    </w:p>
    <w:p>
      <w:r>
        <w:t>Ag Zivilgericht, 2022-11-07, DE</w:t>
      </w:r>
    </w:p>
    <w:p>
      <w:r>
        <w:rPr>
          <w:b/>
        </w:rPr>
        <w:t xml:space="preserve">Quelle: </w:t>
      </w:r>
      <w:r>
        <w:t>https://mcp.opencaselaw.ch/entscheid/ag_zivilgericht_ZVE.2022.41</w:t>
      </w:r>
    </w:p>
    <w:p>
      <w:r>
        <w:t>FR: AG_ZIVILGERICHT ZVE.2022.41 du 7 novembre 2022</w:t>
      </w:r>
    </w:p>
    <w:p>
      <w:r>
        <w:t>IT: AG_ZIVILGERICHT ZVE.2022.41 del 7 novembre 2022</w:t>
      </w:r>
    </w:p>
    <w:p>
      <w:pPr>
        <w:pStyle w:val="Heading2"/>
      </w:pPr>
      <w:r>
        <w:t>Erwägungen</w:t>
      </w:r>
    </w:p>
    <w:p>
      <w:r>
        <w:rPr>
          <w:b/>
        </w:rPr>
        <w:t>E. 3</w:t>
      </w:r>
    </w:p>
    <w:p>
      <w:r>
        <w:t>Nach Gesagtem sind die von der Beklagten im Beschwerdeverfahren neu vorgebrachten Beweismittel nicht zu hören. Da ihre Rüge der unrichtigen und unvollständigen Sachverhaltsfeststellung einzig auf diesen neuen Be- weismitteln basiert, hat es somit bei der vorinstanzlichen Sachverhaltsfest- stellung, wonach im August 1993 der streitgegenständliche Thujabaum ent- weder noch nicht vorhanden war oder die Höhe von 6 m noch nicht über- schritten hat und bei Einreichung des klägerischen Schlichtungsgesuch vom September 2021 die Verwirkungsfrist von 30 Jahren somit noch nicht abgelaufen war (vgl. E. 2.2 hiervor), sein Bewenden. Folglich ist die Be- schwerde abzuweisen, soweit darauf einzutreten ist.</w:t>
      </w:r>
    </w:p>
    <w:p>
      <w:r>
        <w:rPr>
          <w:b/>
        </w:rPr>
        <w:t>E. 4</w:t>
      </w:r>
    </w:p>
    <w:p>
      <w:r>
        <w:t>Ausgangsgemäss sind die Prozesskosten des obergerichtlichen Verfah- rens der Beklagten aufzuerlegen (Art. 106 Abs. 1 ZPO i.V.m. Art. 95 Abs. 1 lit. a und b ZPO). Die obergerichtliche Spruchgebühr ist auf Fr. 1'300.00 festzusetzen (vgl. (§ 11 Abs. 1 VKD i.V.m. § 7 Abs. 1 VKD). Sie werden mit dem von der Beklagten in gleicher Höhe geleisteten Kostenvorschuss ver- rechnet (Art. 111 Abs. 1 ZPO). Zudem ist die Beklagte zu verpflichten, den Klägern ihre zweitinstanzlichen Parteikosten zu ersetzen. Diese wären aus- gehend von einer Grundentschädigung von Fr. 1'990.00 (§ 3 Abs. 1 lit. a Ziff. 1 AnwT), einem Abzug von 20 % gemäss § 6 Abs. 2 AnwT (keine Ver- handlung) sowie einem Abzug von 25 % gemäss § 8 AnwT (Rechtsmittel- verfahren), einer Auslagenpauschale von Fr. 50.00 (§ 13 AnwT) und der Mehrwertsteuer auf maximal Fr. 1'340.00 festzusetzen. Die von den Klä- gern geforderte Parteientschädigung von insgesamt Fr. 1'331.15 (Be- schwerdeantwort S. 12) ist daher nicht zu beanstanden und den Klägern zu Lasten der Beklagten zuzusprechen. Das Obergericht erkennt: 1. Die Beschwerde wird abgewiesen, soweit darauf einzutreten ist. 2. Die obergerichtliche Entscheidgebühr von Fr. 1'300.00 wird der Beklagten auferlegt und mit dem von ihr geleisteten Kostenvorschuss in gleicher Höhe verrechnet.</w:t>
      </w:r>
    </w:p>
    <w:p>
      <w:r>
        <w:t>- 11 - 3. Die Beklagte wird verpflichtet, den Klägern für das zweitinstanzliche Ver- fahren eine Parteientschädigung von Fr. 1'331.15 (inkl. Auslagen und Mehrwertsteuer)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w:t>
      </w:r>
    </w:p>
    <w:p>
      <w:r>
        <w:t>- 12 - BGG). Wird gegen einen Entscheid sowohl ordentliche Beschwerde als auch Verfassungs- beschwerde geführt, sind beide Rechtsmittel in der gleichen Rechtsschrift einzureichen (Art. 119 Abs. 1 BGG). Aarau, 7. November 2022 Obergericht des Kantons Aargau Zivilgericht, 3. Kammer Die Präsidentin: Die Gerichtsschreiberin: Massari Walker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