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ZSU.2026.146 vom 11. Mai 2026</w:t>
      </w:r>
    </w:p>
    <w:p>
      <w:r>
        <w:t>Ag Zivilgericht, 2026-05-11, DE</w:t>
      </w:r>
    </w:p>
    <w:p>
      <w:r>
        <w:rPr>
          <w:b/>
        </w:rPr>
        <w:t xml:space="preserve">Quelle: </w:t>
      </w:r>
      <w:r>
        <w:t>https://mcp.opencaselaw.ch/entscheid/ag_zivilgericht_ZSU.2026.146</w:t>
      </w:r>
    </w:p>
    <w:p>
      <w:r>
        <w:t>FR: AG_ZIVILGERICHT ZSU.2026.146 du 11 mai 2026</w:t>
      </w:r>
    </w:p>
    <w:p>
      <w:r>
        <w:t>IT: AG_ZIVILGERICHT ZSU.2026.146 del 11 maggio 2026</w:t>
      </w:r>
    </w:p>
    <w:p>
      <w:pPr>
        <w:pStyle w:val="Heading2"/>
      </w:pPr>
      <w:r>
        <w:t>Erwägungen</w:t>
      </w:r>
    </w:p>
    <w:p>
      <w:r>
        <w:rPr>
          <w:b/>
        </w:rPr>
        <w:t>E. 1</w:t>
      </w:r>
    </w:p>
    <w:p>
      <w:r>
        <w:t>Der Kläger betrieb die Beklagte mit Zahlungsbefehl Nr. aaa des Betreibungsamtes G._____ vom 29. Januar 2026 für eine Forderung von Fr. 64.95. Gegen diesen ihr am 3. Februar 2026 zugestellten Zahlungsbefehl erhob die Beklagte gleichentags Rechtsvorschlag.</w:t>
      </w:r>
    </w:p>
    <w:p>
      <w:r>
        <w:rPr>
          <w:b/>
        </w:rPr>
        <w:t>E. 2.1</w:t>
      </w:r>
    </w:p>
    <w:p>
      <w:r>
        <w:t>Zur Begründung des angefochtenen Entscheids hielt die Vorinstanz fest, dass die vom Kläger ins Recht gelegte E-Mail der Beklagten vom 1. Oktober 2025 keinen Rechtsöffnungstitel darstelle. Diese stelle weder eine öffentliche Urkunde noch eine mit Unterschrift bekräftigte Schuldanerkennung dar. In den vom Kläger eingereichten Unterlagen befänden sich weitere (nicht unterzeichnete) E-Mails, eine Zahlungsbestätigung im Umfang von Fr. 64.95 sowie der Zahlungsbefehl Nr. aaa des Betreibungsamtes G._____ vom 29. Januar 2026. Folglich bestehe kein Rechtsöffnungstitel. Soweit der Kläger vorbringe, elektronische Erklärungen von Unternehmen, insbesondere solche, die von einer namentlich bezeichneten Mitarbeiterin über den offiziellen Firmenkanal abgegeben würden, seien als hinreichende Schuldanerkennung i.S.v. Art. 82 SchKG zu betrachten, gehe er fehl. Der eigenhändigen Unterschrift gleichgestellt sei lediglich die mit einem qualifizierten Zeitstempel verbundene qualifizierte elektronische Signatur nach dem Bundesgesetz vom 18. März 2016 über die elektronische Signatur. Schuldanerkennungen mittels E-Mail würden keine Unterschrift enthalten und würden daher auch nicht zur provisorischen Rechtsöffnung berechtigen. Eine Schuldanerkennung aus mehreren Urkunden falle ebenfalls ausser Betracht, da keine unterzeichnete Erklärung der Beklagten vorliege.</w:t>
      </w:r>
    </w:p>
    <w:p>
      <w:r>
        <w:t>- 4 -</w:t>
      </w:r>
    </w:p>
    <w:p>
      <w:r>
        <w:rPr>
          <w:b/>
        </w:rPr>
        <w:t>E. 2.2</w:t>
      </w:r>
    </w:p>
    <w:p>
      <w:r>
        <w:t>Der Kläger macht mit Beschwerde – soweit relevant – geltend, dass mindestens drei schriftliche Erklärungen der Beklagten vorliegen würden, welche in ihrer Gesamtheit einen tauglichen Rechtsöffnungstitel darstellen würden. So eine E-Mail der Mitarbeiterin D._____ vom 1. Oktober 2025, eine E-Mail der Mitarbeiterin E._____ vom 1. Oktober 2025 sowie ein Zahlungsbeleg der UBS AG vom 3. Oktober 2025. Alle E-Mails seien versehen mit der vollständigen "institutionellen Firmensignatur" der B._____ AG. Diese weise sämtliche Erklärungen als verbindliche Firmenkorrespondenz der Beklagten aus. Der Schutzzweck des Unterschriftenerfordernisses, nämlich die Identifizierbarkeit des Schuldners und die Erkennbarkeit des Verpflichtungswillens, sei damit vollumfänglich erfüllt. Die Erklärung der Beklagten mit E-Mail vom 1. Oktober 2025 enthalte eine aufschiebende Bedingung ("Rückerstattung nach Einreichung des Zahlungsnachweises"), welche mit dem Zahlungsbeleg der UBS AG vom 3. Oktober 2025 vollständig erfüllt sei. Schliesslich sei auch die Passivlegitimation der Beklagten zu bejahen.</w:t>
      </w:r>
    </w:p>
    <w:p>
      <w:r>
        <w:rPr>
          <w:b/>
        </w:rPr>
        <w:t>E. 2.3</w:t>
      </w:r>
    </w:p>
    <w:p>
      <w:r>
        <w:t>Am 7. April 2026 (Postaufgabe) reichte der Kläger eine weitere Stellungnahme ein.</w:t>
      </w:r>
    </w:p>
    <w:p>
      <w:r>
        <w:rPr>
          <w:b/>
        </w:rPr>
        <w:t>E. 2.3.1</w:t>
      </w:r>
    </w:p>
    <w:p>
      <w:r>
        <w:t>Beruht die Forderung auf einer durch öffentliche Urkunde festgestellten oder durch Unterschrift bekräftigten Schuldanerkennung, so kann der Gläubiger die provisorische Rechtsöffnung verlangen. Der Richter spricht dieselbe aus, sofern der Betriebene nicht Einwendungen, welche die Schuldanerkennung entkräften, sofort glaubhaft macht (Art. 82 Abs. 1 und 2 SchKG). Die Frage, ob ein gültiger Rechtsöffnungstitel vorliegt, prüft der Rechtsöffnungsrichter von Amtes wegen (BGE 147 III 176 E. 4.2.1 m.H.). Eine Schuldanerkennung ist eine Willenserklärung des Schuldners, worin er anerkennt, eine bestimmte oder leicht bestimmbare Geldsumme bei deren Fälligkeit zu bezahlen. Als Schuldanerkennung im Sinne von Art. 82 SchKG gilt nur die schriftliche, vom Schuldner unterzeichnete (oder durch öffentliche Urkunde) ausgewiesene, vorbehaltlose Erklärung, dem Gläubiger einen genau bestimmten oder leicht bestimmbaren Betrag zu schulden (BGE 139 III 297 E. 2.3.1 und 136 III 627 E. 2). Welche Erfordernisse an die Unterschrift zu stellen sind, wird durch das Obligationenrecht, insbesondere Art. 13-15 OR, bestimmt (DANIEL STAEHELIN, in: Basler Kommentar, Bundesgesetz über Schuldbetreibung und Konkurs I, 3. Aufl. 2021, N. 12 zu Art. 82 SchKG). Gemäss Art. 14 Abs. 1 OR muss die Unterschrift eigenhändig geschrieben werden. Der eigenhändigen Unterschrift gleichgestellt ist die mit einem qualifizierten Zeitstempel verbundene qualifizierte elektronische Signatur gemäss Bundesgesetz vom 18. März 2016 über die elektronische Signatur (Art. 14 Abs. 2bis Satz 1 OR). Eine einfache E-Mail genügt den Anforderungen an einen provisorischen Rechtsöffnungstitel damit mangels gültiger</w:t>
      </w:r>
    </w:p>
    <w:p>
      <w:r>
        <w:t>- 5 - Unterschrift gemäss Art. 13-15 OR nicht (STAEHELIN, a.a.O., N. 14 zu Art. 82 SchKG). Eine Schuldanerkennung kann aus mehreren Urkunden bestehen (BGE 139 III 297 E. 2.3.1 und 136 III 627 E. 3.3). Voraussetzung ist, dass die notwendigen Elemente daraus hervorgehen (BGE 106 III 97 E. 3 und 114 III 71 E. 2). Dies bedeutet, dass die unterzeichnete Urkunde auf die Schriftstücke, welche die Schuld betragsmässig ausweisen, klar und unmittelbar Bezug nehmen bzw. verweisen muss (BGE 132 III 480 E. 4.1).</w:t>
      </w:r>
    </w:p>
    <w:p>
      <w:r>
        <w:rPr>
          <w:b/>
        </w:rPr>
        <w:t>E. 2.3.2</w:t>
      </w:r>
    </w:p>
    <w:p>
      <w:r>
        <w:t>Wie die Vorinstanz zutreffend festgehalten hat, erfüllt keines der vom Kläger eingereichten Dokumente (E-Mails vom 1. Oktober 2025, Zahlungsbestätigung der UBS AG vom 3. Oktober 2025 sowie der Zahlungsbefehl Nr. aaa des Betreibungsamtes G._____ vom 29. Januar 2026) die Anforderungen an einen Rechtsöffnungstitel. So weist nämlich keines dieser Dokumente eine eigenhändige oder eine mit einem qualifizierten Zeitstempel verbundene qualifizierte elektronische Signatur auf, womit auch von vornherein das Vorliegen einer Schuldanerkennung aus mehreren Urkunden ausser Betracht fällt. Die "institutionelle Firmensignatur" ist denn auch in keiner Weise mit einer qualifizierten elektronischen Signatur gemäss Bundesgesetz vom 18. März 2016 über die elektronische Signatur (Art. 14 Abs. 2bis Satz 1 OR) gleichzusetzen. Damit genügen die entsprechenden Dokumente weder getrennt noch gemeinsam den Anforderungen einer zur provisorischen Rechtsöffnung berechtigenden Schuldanerkennung i.S.v. Art. 82 SchKG. Mangels Vorliegens eines provisorischen Rechtsöffnungstitels ist die Beschwerde abzuweisen. 3. Aus den vorstehenden Erwägungen ergibt sich, dass im vorliegenden Beschwerdeverfahren die Gewinnaussichten von Anfang an beträchtlich geringer waren als die Verlustgefahren, weshalb sie kaum als ernsthaft bezeichnet werden konnten. Daher war die Beschwerde gegen den Entscheid des Präsidenten des Bezirksgerichts Baden vom 22. April 2026 von vornherein aussichtslos. Das Gesuch um Bewilligung der unentgeltlichen Rechtspflege für das Beschwerdeverfahren ist schon aus diesem Grund abzuweisen. Damit erübrigt es sich, die Frage der Mittellosigkeit zu prüfen.</w:t>
      </w:r>
    </w:p>
    <w:p>
      <w:r>
        <w:rPr>
          <w:b/>
        </w:rPr>
        <w:t>E. 2.4</w:t>
      </w:r>
    </w:p>
    <w:p>
      <w:r>
        <w:t>Mit Entscheid vom 22. April 2026 wies der Präsident des Bezirksgerichts Baden das Rechtsöffnungsbegehren des Klägers ab und auferlegte ihm die Entscheidgebühr von Fr. 60.00. Parteientschädigungen wurden keine zugesprochen.</w:t>
      </w:r>
    </w:p>
    <w:p>
      <w:r>
        <w:rPr>
          <w:b/>
        </w:rPr>
        <w:t>E. 3</w:t>
      </w:r>
    </w:p>
    <w:p>
      <w:r>
        <w:t>Die Verfahrenskosten seien der Beschwerdegegnerin aufzuerlegen und dem Beschwerdeführer sei eine angemessene Parteientschädigung zuzusprechen.</w:t>
      </w:r>
    </w:p>
    <w:p>
      <w:r>
        <w:rPr>
          <w:b/>
        </w:rPr>
        <w:t>E. 3.1</w:t>
      </w:r>
    </w:p>
    <w:p>
      <w:r>
        <w:t>Gegen diesen ihm am 23. April 2026 zugestellten Entscheid erhob der Kläger mit Eingabe vom 27. April 2026 (Postaufgabe) beim Obergericht des Kantons Aargau Beschwerde und beantragte: "1. Der Entscheid des Bezirksgerichts Baden vom 22. April 2026 (SR.2026.92) sei vollumfänglich aufzuheben. 2. Dem Beschwerdeführer sei die provisorische Rechtsöffnung für CHF 64.95 zzgl. Zins zu 5% seit dem 3. Oktober 2025 sowie für die Betreibungskosten von CHF 21.- in der Betreibung Nr. aaa des Betreibungsamts G._____ zu erteilen.</w:t>
      </w:r>
    </w:p>
    <w:p>
      <w:r>
        <w:t>- 3 -</w:t>
      </w:r>
    </w:p>
    <w:p>
      <w:r>
        <w:rPr>
          <w:b/>
        </w:rPr>
        <w:t>E. 3.2</w:t>
      </w:r>
    </w:p>
    <w:p>
      <w:r>
        <w:t>Auf die Einholung einer Beschwerdeantwort wurde verzichtet. Das Obergericht zieht in Erwägung: 1. Rechtsöffnungsentscheide sind mit Beschwerde anfechtbar (Art. 319 lit. a i.V.m. Art. 309 lit. b Ziff. 3 ZPO). Mit der Beschwerde können die unrichtige Rechtsanwendung und die offensichtlich unrichtige Feststellung des Sachverhalts geltend gemacht werden (Art. 320 ZPO). Neue Anträge, neue Tatsachenbehauptungen und neue Beweismittel sind ausgeschlossen (Art. 326 Abs. 1 ZPO). 2.</w:t>
      </w:r>
    </w:p>
    <w:p>
      <w:r>
        <w:rPr>
          <w:b/>
        </w:rPr>
        <w:t>E. 4</w:t>
      </w:r>
    </w:p>
    <w:p>
      <w:r>
        <w:t>Bei diesem Ausgang des Beschwerdeverfahrens hat der Kläger die obergerichtliche Entscheidgebühr zu bezahlen (Art. 106 Abs. 1 ZPO), welche auf Fr. 90.00 festzusetzen ist (Art. 48 Abs. 1 i.V.m. Art. 61 Abs. 1 GebV SchKG), und seine Parteikosten selber zu tragen. Die Beklagte hatte keine Beschwerdeantwort zu erstatten, sodass ihr im obergerichtlichen</w:t>
      </w:r>
    </w:p>
    <w:p>
      <w:r>
        <w:t>- 6 - Verfahren kein Aufwand erwachsen und keine Parteientschädigung zuzusprechen ist. Das Obergericht beschliesst: Das Gesuch um Bewilligung der unentgeltlichen Rechtspflege für das Beschwerdeverfahren wird abgewiesen. Das Obergericht erkennt: 1. Die Beschwerde wird abgewiesen. 2. Die obergerichtliche Gebühr von Fr. 90.00 wird dem Kläger auferlegt. 3.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- 7 -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Aarau, 11. Mai 2026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