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ZSU.2025.363 vom 12. März 2026</w:t>
      </w:r>
    </w:p>
    <w:p>
      <w:r>
        <w:t>Ag Zivilgericht, 2026-03-12, DE</w:t>
      </w:r>
    </w:p>
    <w:p>
      <w:r>
        <w:rPr>
          <w:b/>
        </w:rPr>
        <w:t xml:space="preserve">Quelle: </w:t>
      </w:r>
      <w:r>
        <w:t>https://mcp.opencaselaw.ch/entscheid/ag_zivilgericht_ZSU.2025.363</w:t>
      </w:r>
    </w:p>
    <w:p>
      <w:r>
        <w:t>FR: AG_ZIVILGERICHT ZSU.2025.363 du 12 mars 2026</w:t>
      </w:r>
    </w:p>
    <w:p>
      <w:r>
        <w:t>IT: AG_ZIVILGERICHT ZSU.2025.363 del 12 marzo 2026</w:t>
      </w:r>
    </w:p>
    <w:p>
      <w:pPr>
        <w:pStyle w:val="Heading2"/>
      </w:pPr>
      <w:r>
        <w:t>Erwägungen</w:t>
      </w:r>
    </w:p>
    <w:p>
      <w:r>
        <w:rPr>
          <w:b/>
        </w:rPr>
        <w:t>E. 1</w:t>
      </w:r>
    </w:p>
    <w:p>
      <w:r>
        <w:t>Mit Zahlungsbefehl vom 13. Juni 2025 in der Betreibung Nr. aaa des Be- treibungsamts Q._____ betrieb der Kläger die Beklagte für den Betrag von Fr. 130.00. Der Zahlungsbefehl wurde der Beklagten am 27. Juni 2025 zugestellt. Am 7. Juli 2025 erhob die Beklagte Rechtsvorschlag.</w:t>
      </w:r>
    </w:p>
    <w:p>
      <w:r>
        <w:rPr>
          <w:b/>
        </w:rPr>
        <w:t>E. 1.1</w:t>
      </w:r>
    </w:p>
    <w:p>
      <w:r>
        <w:t>Rechtsöffnungsentscheide sind mit Beschwerde anfechtbar (Art. 319 lit. a i.V.m. Art. 309 lit. b Ziff. 3 ZPO). Die Beschwerde ist schriftlich, begründet und mit Rechtsmittelanträgen versehen einzureichen (Art. 321 Abs. 1 ZPO). Mit der Beschwerde können die unrichtige Rechtsanwendung und die offensichtlich unrichtige Feststellung des Sachverhalts geltend gemacht werden (Art. 320 ZPO). Neue Anträge, neue Tatsachenbehauptungen und neue Beweismittel sind im Beschwerdeverfahren ausgeschlossen (vgl. Art. 326 Abs. 1 ZPO). Das Obergericht kann ohne Verhandlung aufgrund der Akten entscheiden (Art. 327 Abs. 2 ZPO).</w:t>
      </w:r>
    </w:p>
    <w:p>
      <w:r>
        <w:t>- 4 -</w:t>
      </w:r>
    </w:p>
    <w:p>
      <w:r>
        <w:rPr>
          <w:b/>
        </w:rPr>
        <w:t>E. 1.2</w:t>
      </w:r>
    </w:p>
    <w:p>
      <w:r>
        <w:t>Grundsätzlich muss aus einer Rechtsmittelschrift hervorgehen, dass und weshalb der Rechtsuchende einen Entscheid anficht und inwieweit dieser geändert oder aufgehoben werden soll. Ein Rechtsbegehren muss so be- stimmt sein, dass es im Falle der Gutheissung unverändert zum Urteil er- hoben werden kann (BGE 137 III 617 E. 4.2 und 4.3). Wie alle Prozess- handlungen sind auch Rechtsbegehren nach Treu und Glauben auszule- gen (statt vieler Urteil des Bundesgerichts 5A_223/2021 vom 7. Dezember 2021 E. 4.2).</w:t>
      </w:r>
    </w:p>
    <w:p>
      <w:r>
        <w:rPr>
          <w:b/>
        </w:rPr>
        <w:t>E. 1.3</w:t>
      </w:r>
    </w:p>
    <w:p>
      <w:r>
        <w:t>Die Beklagte wiederholt in ihrer Beschwerde in der Sache ihre bereits vor Vorinstanz gestellten Rechtsbegehren (Beschwerdeanträge Ziffern 1-4 und</w:t>
      </w:r>
    </w:p>
    <w:p>
      <w:r>
        <w:rPr>
          <w:b/>
        </w:rPr>
        <w:t>E. 2</w:t>
      </w:r>
    </w:p>
    <w:p>
      <w:r>
        <w:t>Die inkriminierte, nichtige und rechtsunwirksame Strafbefehl/Busse/ Rechtsöffnungsbegehren von Kanton Aargau, Postfach, 5000 Aarau vertreten durch Kantonales Steueramt Sektion Bezug, Postfach. 5001 Aarau 1 sei zu kassieren, vollumfänglich aufzuheben, unter Kos- ten- und Entschädigungsfolgen zu Lasten des Kanton Aargau, Post- fach, 5000 Aarau vertreten durch Kantonales Steueramt Sektion Be- zug, Postfach. 5001 Aarau 1</w:t>
      </w:r>
    </w:p>
    <w:p>
      <w:r>
        <w:rPr>
          <w:b/>
        </w:rPr>
        <w:t>E. 2.1</w:t>
      </w:r>
    </w:p>
    <w:p>
      <w:r>
        <w:t>Der Kläger verlangte vor Vorinstanz definitive Rechtsöffnung für eine For- derung in Höhe von Fr. 130.00 gestützt auf den Strafbefehl Nr. […] vom</w:t>
      </w:r>
    </w:p>
    <w:p>
      <w:r>
        <w:rPr>
          <w:b/>
        </w:rPr>
        <w:t>E. 2.2</w:t>
      </w:r>
    </w:p>
    <w:p>
      <w:r>
        <w:t>Die Beklagte macht mit Beschwerde im Wesentlichen geltend, sie habe entgegen dem angefochtenen Entscheid nie einen Strafbefehl erhalten. Die Zustellung könne nicht belegt werden. Sie habe erst aus dem Rechtsöff- nungsbegehren des Klägers vom 19. August 2025 hiervon erfahren. Es be- stünden Anhaltspunkte für die Annahme von Nichtigkeit. Im Übrigen wie- derholt die Beklagte in ihrer Beschwerde im Wesentlichen ihre bereits vor Vorinstanz vorgetragene (und vorstehend zusammengefasste) Begrün- dung (Verletzung von Art. 85 Abs. 2 StPO, Nichtigkeit des Strafbefehls). 3.</w:t>
      </w:r>
    </w:p>
    <w:p>
      <w:r>
        <w:rPr>
          <w:b/>
        </w:rPr>
        <w:t>E. 2.3</w:t>
      </w:r>
    </w:p>
    <w:p>
      <w:r>
        <w:t>Das Bezirksgericht Baden, Präsidium des Zivilgerichts, erkannte mit Ent- scheid vom 14. November 2025: " 1. Dem Gesuchsteller wird in der Betreibung Nr. aaa des Betreibungsam- tes Q._____ (Zahlungsbefehl vom 13. Juni 2025; Rechtshängigkeit des Rechtsöffnungsbegehrens am 19. August 2025) für den Betrag von Fr. 130.00 definitive Rechtsöffnung erteilt. 2. Die Entscheidgebühr wird auf Fr. 80.00 festgesetzt und der Gesuchs- gegnerin auferlegt. Sie wird mit dem Vorschuss des Gesuchstellers von Fr. 80.00 verrechnet, sodass die Gesuchsgegnerin verpflichtet wird, dem Gesuchsteller den Betrag von Fr. 80.00 direkt zu ersetzen. 3. Es werden keine Parteientschädigungen zugesprochen."</w:t>
      </w:r>
    </w:p>
    <w:p>
      <w:r>
        <w:rPr>
          <w:b/>
        </w:rPr>
        <w:t>E. 2.4</w:t>
      </w:r>
    </w:p>
    <w:p>
      <w:r>
        <w:t>Gegen diesen ihr am 25. November 2025 zugestellten Entscheid reichte die Beklagte am 5. Dezember 2025 beim Obergericht des Kantons Aargau Beschwerde ein und stellte die bereits vor Vorinstanz gestellten Begehren (Beschwerdeanträge Ziffern 1-4 und 8). Daneben begehrte die Beklagte, dass ihr die unentgeltliche Rechtspflege und Rechtsverbeiständung zu ge- währen (Beschwerdeantrag Ziffer 5) und ihrem Rechtsmittel die aufschie- bende Wirkung zu erteilen sei (Beschwerdeantrag Ziffer 7), unter Kosten- und Entschädigungsfolgen (Beschwerdeantrag Ziffer 6).</w:t>
      </w:r>
    </w:p>
    <w:p>
      <w:r>
        <w:rPr>
          <w:b/>
        </w:rPr>
        <w:t>E. 2.5</w:t>
      </w:r>
    </w:p>
    <w:p>
      <w:r>
        <w:t>Auf die Einholung einer Beschwerdeantwort wurde verzichtet. Das Obergericht zieht in Erwägung: 1.</w:t>
      </w:r>
    </w:p>
    <w:p>
      <w:r>
        <w:rPr>
          <w:b/>
        </w:rPr>
        <w:t>E. 3</w:t>
      </w:r>
    </w:p>
    <w:p>
      <w:r>
        <w:t>Es sei festzustellen, dass die nichtige Verfügung Kanton Aargau, Post- fach, 5000 Aarau vertreten durch Kantonales Steueramt Sektion Be- zug, Postfach. 5001 Aarau 1 Um eine missbräuchliche, böswillige, ge- gen Treu und Glauben verstossende Verfügung sei. Es seien die abso- luten Nichtigkeiten, Unwirksamkeiten dieser nicht rechtsstaatlichen Verfügung von Amtes wegen festzustellen,</w:t>
      </w:r>
    </w:p>
    <w:p>
      <w:r>
        <w:rPr>
          <w:b/>
        </w:rPr>
        <w:t>E. 3.1</w:t>
      </w:r>
    </w:p>
    <w:p>
      <w:r>
        <w:t>Beruht eine Forderung auf einem vollstreckbaren gerichtlichen Entscheid, so kann der Gläubiger beim Richter die Aufhebung des Rechtsvorschlags (definitive Rechtsöffnung) verlangen. Die Rechtsöffnung wird erteilt, wenn nicht der Betriebene durch Urkunden beweist, dass die Schuld seit Erlass des Entscheids getilgt oder gestundet worden ist, oder die Verjährung an- ruft (Art. 81 Abs. 1 SchKG). Das Rechtsöffnungsgericht hat zu prüfen, ob sich die in Betreibung gesetzte Forderung aus dem vorgelegten gerichtli- chen Urteil ergibt. Dabei hat es weder über den materiellen Bestand der Forderung zu befinden, noch sich mit der materiellen Richtigkeit des Urteils zu befassen (BGE 135 III 315 E. 2.3). Demgegenüber ist die Nichtigkeit eines Entscheides jederzeit und von sämtlichen rechtsanwendenden Be- hörden von Amtes wegen zu beachten. Neben den in Art. 81 SchKG ge- nannten Einreden kann der Schuldner daher der definitiven Rechtsöffnung</w:t>
      </w:r>
    </w:p>
    <w:p>
      <w:r>
        <w:t>- 6 - auch Nichtigkeit des Vollstreckungstitels entgegenhalten (BGE 129 I 361 E. 2). Fehlerhafte Entscheide sind nichtig, wenn der ihnen anhaftende Man- gel besonders schwer ist, wenn er sich als offensichtlich oder zumindest leicht erkennbar erweist und die Rechtssicherheit durch die Annahme der Nichtigkeit nicht ernsthaft gefährdet wird. Inhaltliche Mängel einer Entschei- dung führen nur ausnahmsweise zur Nichtigkeit. Als Nichtigkeitsgründe fal- len vorab funktionelle und sachliche Unzuständigkeit der entscheidenden Behörde sowie krasse Verfahrensfehler in Betracht (BGE 145 III 436 E. 4, 129 I 361 E. 2.1).</w:t>
      </w:r>
    </w:p>
    <w:p>
      <w:r>
        <w:rPr>
          <w:b/>
        </w:rPr>
        <w:t>E. 3.2</w:t>
      </w:r>
    </w:p>
    <w:p>
      <w:r>
        <w:t>Soweit die Beklagte, wie bereits vor Vorinstanz, geltend machen sollte, die Verletzung von Art. 85 Abs. 2 StPO führe per se zur Nichtigkeit des Straf- befehls Nr. […] vom 12. Februar 2025, sodass dieser nicht als Rechtsöff- nungstitel tauge, ist sie nicht zu hören: Wie bereits die Vorinstanz im Ergebnis feststellte, ist Art. 85 Abs. 2 StPO nicht anwendbar. Die Schweizerische Strafprozessordnung gilt nach ihrem Art. 1 Abs. 1 für die Verfolgung und Beurteilung der Straftaten nach Bun- desrecht durch die Strafbehörden des Bundes und der Kantone. Sie gilt auch für die Verfolgung und die Beurteilung kantonaler Straftatbestände, wobei die besonderen Bestimmungen der kantonalen Ordnungsbussenver- fahren und Steuerstrafverfahren explizit vorbehalten bleiben (§ 1 Abs. 2 des Einführungsgesetzes zur Schweizerischen Strafprozessordnung [EG StPO]). Beim Bussenverfahren nach § 235 StG, welches dem streitgegen- ständlichen Strafbefehl zugrunde liegt, handelt es sich um ein solches kan- tonales Steuerstrafverfahren, welches im Strafbefehlsverfahren nach den §§ 242 ff. StG abgehandelt wird. Das Steuergesetz beinhaltet somit eine eigene Verfahrensordnung, die gemäss § 1 Abs. 2 EG StPO im kantonalen Ordnungsbussen- bzw. Steuerstrafverfahren den Regeln der StPO vor- geht. Mit anderen Worten ist die StPO beim vorliegenden Bussenverfahren für die Frage der Zustellung bzw. Zustellungsform nicht anwendbar. § 175 Abs. 1 StG sieht allgemein die schriftliche Eröffnung von Verfügungen und Entscheidungen vor. Eine besondere Zustellart wird nicht statuiert (Urteil des Spezialverwaltungsgerichts des Kantons Aargau 3-RV.2020.189 vom 20. Januar 2022 E. 4.3.5 f.; Urteil des Spezialverwaltungsgerichts des Kan- tons Aargau 3-BU.2024.38 vom 30. April 2024 E. II/1.4.2). Bei uneinge- schriebenem Brief erfolgt die Zustellung bereits dadurch, dass er in den Briefkasten bzw. ins Postfach des Adressaten gelegt wird, und damit in den Macht- bzw. Verfügungsbereich des Empfängers gelangt. Dass der Emp- fänger von der Verfügung tatsächlich Kenntnis nimmt, ist nicht erforderlich (BGE 142 III 599 E. 2.4.1). Die Zustellung des Strafbefehls Nr. […] vom</w:t>
      </w:r>
    </w:p>
    <w:p>
      <w:r>
        <w:rPr>
          <w:b/>
        </w:rPr>
        <w:t>E. 3.3.1</w:t>
      </w:r>
    </w:p>
    <w:p>
      <w:r>
        <w:t>Die Beklagte macht mit Beschwerde geltend, der Strafbefehl Nr. […] vom</w:t>
      </w:r>
    </w:p>
    <w:p>
      <w:r>
        <w:rPr>
          <w:b/>
        </w:rPr>
        <w:t>E. 3.3.2</w:t>
      </w:r>
    </w:p>
    <w:p>
      <w:r>
        <w:t>Der Vollständigkeit halber ist zu erwähnen, dass das Vorbringen, wonach der Strafbefehl nie zugestellt worden sei – selbst wenn es im Rechtsmittel- verfahren noch beachtlich wäre – unbehilflich wäre: Das Bundesgericht hat sich bereits verschiedentlich zur Zustellung mittels A-Post Plus geäussert. Bei dieser Versandmethode werden Briefe in un- eingeschriebener Form (A-Post) befördert, d.h. die Zustellung erfolgt direkt in den Briefkasten oder ins Postfach des Adressaten, ohne dass dieser den Empfang unterschriftlich bestätigen müsste; entsprechend wird der Adres- sat im Falle seiner Abwesenheit auch nicht durch Hinterlegung einer Abho- lungseinladung avisiert. Im Unterschied zu herkömmlichen Postsendungen sind A-Post-Plus-Sendungen jedoch mit einer Nummer versehen, welche die elektronische Sendungsverfolgung im Internet ("Track &amp; Trace") ermög- licht. Daraus ist u.a. ersichtlich, wann dem Empfänger die Sendung durch die Post zugestellt wurde (zum Ganzen BGE 142 III 599 E. 2.2). Allfällige Fehler bei der Postzustellung liegen nicht ausserhalb jeder Wahrscheinlich- keit. Eine fehlerhafte Postzustellung ist allerdings nicht zu vermuten. Dies gilt sowohl bei der Versandart A-Post Plus als auch bei eingeschriebenen Postsendungen hinsichtlich des Avis, der in den Briefkasten oder in das Postfach des Empfängers gelegt wird. In beiden Fällen ist somit zu vermu- ten, dass das Zustelldatum von den Postangestellten korrekt registriert wor- den ist (BGE 142 III 599 E. 2.4.1; 142 IV 201 E. 2.3). Die Vermutung kann durch den Gegenbeweis umgestossen werden. Es müssen konkrete An- zeichen für einen Fehler vorhanden sein, sodass dieser aufgrund der Um- stände als plausibel erscheint (vgl. Urteil des Bundesgerichts 1C_31/2018 vom 14. Januar 2019 E. 3.3 mit Hinweisen). Auf die Darstellung des Adres- saten, dass eine fehlerhafte Postzustellung vorliegt, ist daher abzustellen, wenn seine Darlegung der Umstände nachvollziehbar ist und einer</w:t>
      </w:r>
    </w:p>
    <w:p>
      <w:r>
        <w:t>- 8 - gewissen Wahrscheinlichkeit entspricht, wobei sein guter Glaube zu ver- muten ist (BGE 142 III 599 E. 2.4.1). Der Kläger belegte die Zustellung des Strafbefehls Nr. […] vom 12. Februar 2025 per A-Post-Plus gemäss Vorinstanz (E. 1.2) mittels Zustellnachweis. Einzig die pauschale Behauptung in der Beschwerde, dass die Beklagte den Strafbefehl nie erhalten habe, reicht, nach dem Gesagten, nicht, um die Vermutung der Zustellung zu entkräften. 4. Zusammenfassend ist die Beschwerde abzuweisen, soweit darauf einzu- treten ist. 5. Der Antrag um Erteilung der aufschiebenden Wirkung der Beschwerde wird mit dem vorliegenden Entscheid gegenstandslos. 6. Auf eine Zustellung der Beschwerde zur Stellungnahme an den Kläger wurde wegen offensichtlicher Unbegründetheit derselben verzichtet (Art. 322 Abs. 1 ZPO). 7. Die Beklagte beantragt die unentgeltliche Rechtspflege und Rechtsverbei- ständung. Die Gewährung der unentgeltlichen Rechtspflege setzt die Mit- tellosigkeit der gesuchstellenden Partei voraus, ferner, dass ihre Begeh- rensstellung nicht aussichtslos erscheint (Art. 117 ZPO). Nach oben Ausgeführtem erweist sich die Beschwerde als aussichtslos. Damit ist ihr Gesuch abzuweisen. 8. Ausgangsgemäss wird die Beklagte für das Beschwerdeverfahren kosten- pflichtig (Art. 106 Abs. 1 ZPO). Die Entscheidgebühr ist auf Fr. 120.00 fest- zusetzen (Art. 48 Abs. 1 und Art. 61 Abs. 1 GebV SchKG). Dem Kläger ist kein Aufwand entstanden. Eine Parteientschädigung ist demnach nicht zu- zusprechen. Das Obergericht erkennt:</w:t>
      </w:r>
    </w:p>
    <w:p>
      <w:r>
        <w:rPr>
          <w:b/>
        </w:rPr>
        <w:t>E. 4</w:t>
      </w:r>
    </w:p>
    <w:p>
      <w:r>
        <w:t>Es sei festzustellen dass Die Vollstreckbar-Bescheinigung/Rechtsmit- telbelehrung in der nichtigen Verfügung eine Urkundenfälschung im Amt sei (Siehe Urteile des Bundesgerichts vom 15. Juli 2021 (BGer 5A_492/2021 und 5A_575/2021)</w:t>
      </w:r>
    </w:p>
    <w:p>
      <w:r>
        <w:rPr>
          <w:b/>
        </w:rPr>
        <w:t>E. 5</w:t>
      </w:r>
    </w:p>
    <w:p>
      <w:r>
        <w:t>Unter Kosten und Entschädigung folgen.</w:t>
      </w:r>
    </w:p>
    <w:p>
      <w:r>
        <w:rPr>
          <w:b/>
        </w:rPr>
        <w:t>E. 6</w:t>
      </w:r>
    </w:p>
    <w:p>
      <w:r>
        <w:t>Die diesem Verfahren rubrizierte Betreibung sei zu löschen."</w:t>
      </w:r>
    </w:p>
    <w:p>
      <w:r>
        <w:t>- 3 -</w:t>
      </w:r>
    </w:p>
    <w:p>
      <w:r>
        <w:rPr>
          <w:b/>
        </w:rPr>
        <w:t>E. 8</w:t>
      </w:r>
    </w:p>
    <w:p>
      <w:r>
        <w:t>bzw. Gesuchsantwortanträge Ziffern 1-4 und 6), beantragt mithin nicht klar, inwiefern der vorinstanzliche Entscheid abgeändert oder aufgehoben werden soll. Es handelt sich bei der Beklagten jedoch um eine anwaltlich nicht vertretene Laiin. In ihrer Beschwerdebegründung führt sie aus, inwie- fern der vorinstanzliche Entscheid ihrer Meinung nach fehlerhaft sei, insbe- sondere, dass es sich beim Strafbefehl Nr. […] vom 12. Februar 2025 nicht um einen definitiven Rechtsöffnungstitel handle (vgl. auch Beschwerdean- träge Ziffern 1-3, wonach der Strafbefehl bzw. die "Verfügung" nichtig bzw. unwirksam sei). Zumindest sinngemäss geht es ihr in der Sache offenkun- dig darum, dass der vorinstanzliche Entscheid aufgehoben und das kläge- rische Rechtsöffnungsgesuch abgewiesen wird. Insofern kann auf die Be- schwerde eingetreten werden. Soweit die Beklagte demgegenüber in der Sache Anträge stellt, die über die Aufhebung des angefochtenen Entscheids und die Abweisung des Rechtsöffnungsgesuchs hinausgehen, ist darauf nicht einzutreten. Na- mentlich ist der Rechtsöffnungsrichter nicht dafür zuständig, eine behaup- tete Straftat festzustellen (Beschwerdeantrag Ziffer 4) oder eine Betreibung zu löschen bzw. löschen zu lassen (Beschwerdeantrag Ziffer 8), wobei an- zumerken ist, dass die "Löschung" einer Betreibung im Schweizer Rechts- system ohnehin nicht vorgesehen ist. 2.</w:t>
      </w:r>
    </w:p>
    <w:p>
      <w:r>
        <w:rPr>
          <w:b/>
        </w:rPr>
        <w:t>E. 12</w:t>
      </w:r>
    </w:p>
    <w:p>
      <w:r>
        <w:t>Februar 2025 des kantonalen Steueramts betreffend Verletzung von Verfahrenspflichten sei ihr nie zugestellt worden. Dies hat die Beklagte vor Vorinstanz nicht behauptet. Dort brachte sie lediglich vor, dass die Zustel- lung eines Strafbefehls mit A-Post Plus gemäss Art. 85 Abs. 2 StPO unzu- lässig sei. Es handelt sich folglich um eine neue Tatsachenbehauptung, welche im Beschwerdeverfahren grundsätzlich unzulässig und mit der die Beklagte somit nicht zu hören ist (Art. 326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