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ZSU.2025.21 vom 19. Februar 2025</w:t>
      </w:r>
    </w:p>
    <w:p>
      <w:r>
        <w:t>Ag Zivilgericht, 2025-02-19, DE</w:t>
      </w:r>
    </w:p>
    <w:p>
      <w:r>
        <w:rPr>
          <w:b/>
        </w:rPr>
        <w:t xml:space="preserve">Quelle: </w:t>
      </w:r>
      <w:r>
        <w:t>https://mcp.opencaselaw.ch/entscheid/ag_zivilgericht_ZSU.2025.21</w:t>
      </w:r>
    </w:p>
    <w:p>
      <w:r>
        <w:t>FR: AG_ZIVILGERICHT ZSU.2025.21 du 19 février 2025</w:t>
      </w:r>
    </w:p>
    <w:p>
      <w:r>
        <w:t>IT: AG_ZIVILGERICHT ZSU.2025.21 del 19 febbraio 2025</w:t>
      </w:r>
    </w:p>
    <w:p>
      <w:pPr>
        <w:pStyle w:val="Heading2"/>
      </w:pPr>
      <w:r>
        <w:t>Erwägungen</w:t>
      </w:r>
    </w:p>
    <w:p>
      <w:r>
        <w:rPr>
          <w:b/>
        </w:rPr>
        <w:t>E. 1.1</w:t>
      </w:r>
    </w:p>
    <w:p>
      <w:r>
        <w:t>Die Klägerin betrieb den Beklagten (Inhaber des im Handelsregister des Kantons Aargau eingetragenen Einzelunternehmens "C._____") mit Zah- lungsbefehl Nr. xxx des Betreibungsamts Q._____ vom 2. April 2024 für eine Forderung von Fr. 499.00 nebst Zins zu 5 % seit 30. März 2024, Be- arbeitungskosten von Fr. 50.00 und Verzugszins bis 29. März 2024 in der Höhe von Fr. 10.10.</w:t>
      </w:r>
    </w:p>
    <w:p>
      <w:r>
        <w:rPr>
          <w:b/>
        </w:rPr>
        <w:t>E. 1.2</w:t>
      </w:r>
    </w:p>
    <w:p>
      <w:r>
        <w:t>Der Beklagte erhob gegen den ihm am 22. April 2024 zugestellten Zah- lungsbefehl keinen Rechtsvorschlag.</w:t>
      </w:r>
    </w:p>
    <w:p>
      <w:r>
        <w:rPr>
          <w:b/>
        </w:rPr>
        <w:t>E. 2</w:t>
      </w:r>
    </w:p>
    <w:p>
      <w:r>
        <w:t>Die Gesuchstellerin haftet als Gläubigerin gemäss Art. 194 i.V.m. Art. 169 SchKG gegenüber dem Konkursamt für die Kosten, die bis und mit der Einstellung des Konkurses mangels Aktiven oder bis zum Schuldenruf ent- stehen.</w:t>
      </w:r>
    </w:p>
    <w:p>
      <w:r>
        <w:rPr>
          <w:b/>
        </w:rPr>
        <w:t>E. 2.1</w:t>
      </w:r>
    </w:p>
    <w:p>
      <w:r>
        <w:t>Gemäss Art. 172 Ziff. 3 SchKG weist das Konkursgericht das Konkursbe- gehren ab, wenn der Schuldner durch Urkunden beweist, dass die Schuld, Zins und Kosten inbegriffen, getilgt ist oder dass der Gläubiger ihm Stun- dung gewährt hat. Im Beschwerdeverfahren gilt diese Bestimmung bei kon- kurshindernden Tatsachen, die sich in einem Zeitpunkt vor dem Entscheid des Konkursgerichts verwirklicht haben, uneingeschränkt (GIROUD/THEUS SIMONI, a.a.O., N. 10 zu Art. 172 SchKG). Weist der Schuldner im Be- schwerdeverfahren nach, dass er die offene Schuld bereits vor der Kon- kurseröffnung bezahlt hat (bzw. eine Teilzahlung mit Stundung der Rest- schuld oder eine Stundung der Schuld vorliegt), prüft die Beschwer- deinstanz die Zahlungsfähigkeit des Schuldners nicht (GIROUD/THEUS SI- MONI, a.a.O., N. 19b zu Art. 174 SchKG). Zu tilgen sind nicht nur die Schuld und die Zinsen (vgl. dazu Art. 209 SchKG), sondern auch die Kosten. Zu diesen gehören sämtliche Betrei- bungskosten einschliesslich der Kosten der Konkursandrohung, allfälliger vorsorglicher Anordnungen, der Rechtsöffnungskosten und der im Rechts- öffnungsverfahren allenfalls zugesprochenen Parteientschädigung sowie des dem Konkursgericht geleisteten Kostenvorschusses für das Kon- kursdekret bzw. die Kosten des Konkursgerichtes, aber auch eine etwaige Parteientschädigung für die Konkursverhandlung (BGE 133 III 687 E. 2.3; GIROUD/THEUS SIMONI, a.a.O., N. 11 zu Art. 172 SchKG).</w:t>
      </w:r>
    </w:p>
    <w:p>
      <w:r>
        <w:rPr>
          <w:b/>
        </w:rPr>
        <w:t>E. 2.2</w:t>
      </w:r>
    </w:p>
    <w:p>
      <w:r>
        <w:t>Der Beklagte hat mit der Beschwerde zum Nachweis der Tilgung der in Betreibung gesetzten Forderung samt Zinsen und Kosten in der Höhe von total Fr. 1'137.20 (vorinstanzliche Akten act. 13) einen Beleg betreffend eine Zahlung von seinem Konto bei der D._____ AG zu Gunsten der E._____ AG in Höhe von Fr. 678.70 mit Valutadatum 22. November 2024 eingereicht (Beschwerdebeilage). Ob diese Einzahlung die in Betreibung gesetzte Forderung der Klägerin betrifft, ergibt sich nicht aus dem einge- reichten Beleg. Aber selbst wenn dem so wäre, wäre jedenfalls die in Be- treibung gesetzte Forderung samt Zinsen und Kosten vor der Konkurser- öffnung nicht vollständig getilgt worden. Damit hat der Beklagte nicht nach- gewiesen, dass er die offene Schuld bereits vor der Konkurseröffnung voll- ständig bezahlt hat. 3.</w:t>
      </w:r>
    </w:p>
    <w:p>
      <w:r>
        <w:rPr>
          <w:b/>
        </w:rPr>
        <w:t>E. 3</w:t>
      </w:r>
    </w:p>
    <w:p>
      <w:r>
        <w:t>Die von der Gesuchstellerin mit Kostenvorschuss in gleicher Höhe bereits bezahlte Spruchgebühr von Fr. 350.00 ist vom Gesuchsgegner zu tragen, so dass die Gesuchstellerin diesen Betrag gemäss Art. 68 resp. 262 SchKG erheben darf.</w:t>
      </w:r>
    </w:p>
    <w:p>
      <w:r>
        <w:rPr>
          <w:b/>
        </w:rPr>
        <w:t>E. 3.1</w:t>
      </w:r>
    </w:p>
    <w:p>
      <w:r>
        <w:t>Die Rechtsmittelinstanz kann die Konkurseröffnung ausserdem aufheben, wenn der Schuldner seine Zahlungsfähigkeit glaubhaft macht und durch Urkunden beweist, dass inzwischen die Schuld, einschliesslich der Zinsen und Kosten, getilgt oder der geschuldete Betrag bei der Rechtsmittelinstanz</w:t>
      </w:r>
    </w:p>
    <w:p>
      <w:r>
        <w:t>- 5 - zuhanden des Gläubigers hinterlegt ist oder der Gläubiger auf die Durch- führung des Konkurses verzichtet (Art. 174 Abs. 2 SchKG).</w:t>
      </w:r>
    </w:p>
    <w:p>
      <w:r>
        <w:rPr>
          <w:b/>
        </w:rPr>
        <w:t>E. 3.2</w:t>
      </w:r>
    </w:p>
    <w:p>
      <w:r>
        <w:t>Der Beklagte hat nicht geltend gemacht und keine Belege dafür eingereicht, dass er den noch offenen (Rest-)Betrag der Konkursforderung einschliess- lich Zinsen und Kosten nach der Konkurseröffnung getilgt hat (Art. 174 Abs. 2 Ziff. 1 SchKG). Eine Hinterlegung des (Rest-)Betrags bei der Ober- gerichtskasse zuhanden der Klägerin nach Art. 174 Abs. 2 Ziff. 2 SchKG ist nicht erfolgt und vom Beklagten nicht geltend gemacht worden. Der Be- klagte hat auch nicht behauptet und belegt, dass die Klägerin auf die Durch- führung des Konkurses verzichtet hat (Art. 174 Abs. 2 Ziff. 3 SchKG). Die mit Eingabe vom 11. Februar 2025 – und damit nach Verstreichen der bis am 3. Februar 2025 laufenden Beschwerdefrist – erklärte Bereitschaft des Beklagten, "den allenfalls noch geschuldeten Restbetrag umgehend zu begleichen", ist ebenso unerheblich wie die Mitteilung, dass er die Klägerin angefragt habe, ob sie bereit wäre, auf die Durchführung des Konkurses zu verzichten, da die Konkurshinderungsgründe nach Art. 174 Abs. 2 SchKG – wie in E. 1 hiervor dargelegt – sich innert der Beschwerdefrist verwirklicht haben und geltend gemacht werden müssen, was vorliegend nicht der Fall ist. Schliesslich fehlt es an der Glaubhaftmachung der Zahlungsfähigkeit des Beklagten (Art. 174 Abs. 2 SchKG).</w:t>
      </w:r>
    </w:p>
    <w:p>
      <w:r>
        <w:rPr>
          <w:b/>
        </w:rPr>
        <w:t>E. 4</w:t>
      </w:r>
    </w:p>
    <w:p>
      <w:r>
        <w:t>Zusammenfassend ist festzuhalten, dass die Voraussetzungen für eine Aufhebung des vorinstanzlichen Konkurserkenntnisses vom 20. Januar 2025 nicht erfüllt sind und nicht mehr erfüllt werden können. Die Be- schwerde ist deshalb (unter Abweisung des mit der beabsichtigten Beglei- chung einer "allenfalls noch offenen Restforderung" begründeten Sistie- rungsgesuchs und unter Verzicht auf die Einholung einer Beschwerdeant- wort) abzuweisen.</w:t>
      </w:r>
    </w:p>
    <w:p>
      <w:r>
        <w:rPr>
          <w:b/>
        </w:rPr>
        <w:t>E. 5</w:t>
      </w:r>
    </w:p>
    <w:p>
      <w:r>
        <w:t>Aus den vorstehenden Ausführungen ergibt sich, dass im vorliegenden Be- schwerdeverfahren die Gewinnaussichten von Anfang an beträchtlich ge- ringer waren als die Verlustgefahren, weshalb sie kaum als ernsthaft be- zeichnet werden konnten. Daher war die Beschwerde von vornherein aus- sichtslos i.S.v. Art. 117 lit. b ZPO (statt vieler: BGE 142 III 138 E. 5.1 m.w.H.). Das Gesuch um Bewilligung der unentgeltlichen Rechtspflege für das Beschwerdeverfahren ist deshalb abzuweisen.</w:t>
      </w:r>
    </w:p>
    <w:p>
      <w:r>
        <w:t>- 6 -</w:t>
      </w:r>
    </w:p>
    <w:p>
      <w:r>
        <w:rPr>
          <w:b/>
        </w:rPr>
        <w:t>E. 6</w:t>
      </w:r>
    </w:p>
    <w:p>
      <w:r>
        <w:t>Bei diesem Ausgang des Beschwerdeverfahrens hat der Beklagte die ober- gerichtliche Entscheidgebühr zu bezahlen (Art. 106 Abs. 1 ZPO; Art. 61 Abs. 1 i.V.m. Art. 52 GebV SchKG) und seine Parteikosten selbst zu tra- gen. Da der Klägerin im Beschwerdeverfahren kein Aufwand entstanden ist, ist ihr keine Parteientschädigung zuzusprechen.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