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ZSU.2024.290 vom 26. Februar 2025</w:t>
      </w:r>
    </w:p>
    <w:p>
      <w:r>
        <w:t>Ag Zivilgericht, 2025-02-26, DE</w:t>
      </w:r>
    </w:p>
    <w:p>
      <w:r>
        <w:rPr>
          <w:b/>
        </w:rPr>
        <w:t xml:space="preserve">Quelle: </w:t>
      </w:r>
      <w:r>
        <w:t>https://mcp.opencaselaw.ch/entscheid/ag_zivilgericht_ZSU.2024.290</w:t>
      </w:r>
    </w:p>
    <w:p>
      <w:r>
        <w:t>FR: AG_ZIVILGERICHT ZSU.2024.290 du 26 février 2025</w:t>
      </w:r>
    </w:p>
    <w:p>
      <w:r>
        <w:t>IT: AG_ZIVILGERICHT ZSU.2024.290 del 26 febbraio 2025</w:t>
      </w:r>
    </w:p>
    <w:p>
      <w:pPr>
        <w:pStyle w:val="Heading2"/>
      </w:pPr>
      <w:r>
        <w:t>Erwägungen</w:t>
      </w:r>
    </w:p>
    <w:p>
      <w:r>
        <w:rPr>
          <w:b/>
        </w:rPr>
        <w:t>E. 1</w:t>
      </w:r>
    </w:p>
    <w:p>
      <w:r>
        <w:t>In der Betreibung Nr. aaa des Regionalen Betreibungsamts Q._____ be- trieb die Klägerin den Beklagten mit Zahlungsbefehl vom 19. Septem- ber 2023 für den Betrag von Fr. 3'350.00 nebst Zins zu 5 % seit 8. Septem- ber 2023 sowie für die Zahlungsbefehlskosten von Fr. 73.30. Als Forde- rungsurkunde bzw. Forderungsgrund wurde im Zahlungsbefehl "Abo C._____" angegeben.</w:t>
      </w:r>
    </w:p>
    <w:p>
      <w:r>
        <w:rPr>
          <w:b/>
        </w:rPr>
        <w:t>E. 1.1</w:t>
      </w:r>
    </w:p>
    <w:p>
      <w:r>
        <w:t>Rechtsöffnungsentscheide sind mit Beschwerde anfechtbar (Art. 319 lit. a i.V.m. Art. 309 lit. b Ziff. 3 ZPO). Mit der Beschwerde können die unrichtige Rechtsanwendung und die offensichtlich unrichtige Feststellung des Sach- verhalts geltend gemacht werden (Art. 320 ZPO). Neue Anträge, neue Tat- sachenbehauptungen und neue Beweismittel sind im Beschwerdeverfah- ren ausgeschlossen (Art. 326 Abs. 1 ZPO). Das Obergericht kann ohne Verhandlung aufgrund der Akten entscheiden (Art. 327 Abs. 2 ZPO).</w:t>
      </w:r>
    </w:p>
    <w:p>
      <w:r>
        <w:rPr>
          <w:b/>
        </w:rPr>
        <w:t>E. 1.2</w:t>
      </w:r>
    </w:p>
    <w:p>
      <w:r>
        <w:t>Die Beschwerdeinstanz ist nicht verpflichtet, den erstinstanzlichen Ent- scheid losgelöst von konkreten Anhaltspunkten in der Beschwerdebegrün- dung von sich aus in jede Richtung hin auf mögliche Mängel zu untersu- chen, die eine Gutheissung des Rechtsmittels ermöglichen könnten. Abge- sehen von offensichtlichen Mängeln beschränkt sie sich vielmehr darauf, die Beanstandungen zu beurteilen, welche die Parteien in ihren schriftli- chen Begründungen gegen das Urteil erheben (BGE 147 III 176 E. 4.2.1). 2.</w:t>
      </w:r>
    </w:p>
    <w:p>
      <w:r>
        <w:rPr>
          <w:b/>
        </w:rPr>
        <w:t>E. 2</w:t>
      </w:r>
    </w:p>
    <w:p>
      <w:r>
        <w:t>Die Entscheidgebühr von Fr. 250.00 wird der Gesuchstellerin auferlegt und mit ihrem Kostenvorschuss in gleicher Höhe verrechnet.</w:t>
      </w:r>
    </w:p>
    <w:p>
      <w:r>
        <w:rPr>
          <w:b/>
        </w:rPr>
        <w:t>E. 2.1</w:t>
      </w:r>
    </w:p>
    <w:p>
      <w:r>
        <w:t>Zur Begründung ihres Entscheids führte die Vorinstanz aus, die Klägerin habe es unterlassen, die Rückseite des Zahlungsbefehls in der Betreibung Nr. aaa einzureichen, weshalb nicht eruiert werden könne, ob Rechtsvor- schlag erhoben worden sei. Das Rechtsöffnungsbegehren sei schon des- halb abzuweisen (angefochtener Entscheid E. 3.1). Zudem ergebe sich aus dem im Zahlungsbefehl angegebenen Forderungsgrund nicht, um welche Zeitspanne es sich bei diesem handle, womit der Schuldner nicht habe prü- fen können, ob diese Schuld zurecht betrieben worden sei (angefochtener Entscheid E. 3.2). Der Rechtsöffnungstitel führe als Vertragsparteien die "D._____" und "B._____ / E._____" auf. Die Klägerin sei jedoch die A._____ AG, weshalb keine Gläubigeridentität gegeben sei. Auch die Schuldneridentität sei zu verneinen, da die Betreibung gegen den Beklag- ten eingeleitet worden sei, aus dem Rechtsöffnungstitel jedoch nicht er- sichtlich sei, ob sich mit diesem Vertrag der Beklagte oder die E._____ ver- pflichtet habe (angefochtener Entscheid E. 3.3.2). Schliesslich lasse sich aus dem als Rechtsöffnungstitel eingereichten Ausdruck der Fahrerverein- barung nicht feststellen, ob es sich bei der Unterschrift um eine elektroni- sche Signatur handle. Dies wäre nur anhand des Originaldokuments in</w:t>
      </w:r>
    </w:p>
    <w:p>
      <w:r>
        <w:t>- 4 - digitaler Form möglich, weshalb das Gericht vorliegend nicht überprüfen könne, ob die Anforderungen an eine gültige Schuldanerkennung erfüllt seien (angefochtener Entscheid E. 3.4.3).</w:t>
      </w:r>
    </w:p>
    <w:p>
      <w:r>
        <w:rPr>
          <w:b/>
        </w:rPr>
        <w:t>E. 2.2</w:t>
      </w:r>
    </w:p>
    <w:p>
      <w:r>
        <w:t>Mit Beschwerde bringt die Klägerin vor, die Vorinstanz hätte von Amtes wegen die Forderung weiter prüfen sollen, insbesondere da die Grundlage für die Betreibung klar benannt worden sei. Die Zeitspanne ergebe sich aus der unterzeichneten Fahrervereinbarung sowie den Monatsrechnungen. Die Klägerin reiche mit Beschwerde sodann eine beidseitige Kopie des Zahlungsbefehls ein (Beschwerde Ziff. 1). Die Unklarheiten betreffend Gläubiger- und Schuldneridentität hätten durch eine weitergehende Prü- fung der Vorinstanz beseitigt werden können, insbesondere durch das Ein- holen weiterer Unterlagen. Die D._____ AG sei zur A._____ AG umfirmiert worden. Der Schuldner der Fahrervereinbarung habe lediglich die Post- adresse der E._____ aufgeführt. Die Fahrervereinbarung sei jedoch von der Privatperson ohne Bezug auf eine GmbH unterzeichnet worden. Auch die Übergabebestätigung sei von der Privatperson unterzeichnet und die Zahlungen seien vom Konto der Privatperson mit Privatadresse in […] Q._____ beglichen worden (Beschwerde Ziff. 2). Schliesslich bean- tragt die Klägerin, dass die Validierung der elektronischen Signatur im Rah- men des Beschwerdeverfahrens durch das Obergericht vorgenommen werden soll. Dazu reichte sie mit ihrer Beschwerde ein Abschlusszertifikat ein (Beschwerde Ziff. 3).</w:t>
      </w:r>
    </w:p>
    <w:p>
      <w:r>
        <w:rPr>
          <w:b/>
        </w:rPr>
        <w:t>E. 2.3</w:t>
      </w:r>
    </w:p>
    <w:p>
      <w:r>
        <w:t>Mit Entscheid vom 2. Dezember 2024 erkannte das Präsidium des Bezirks- gerichts Kulm: " 1. Das Rechtsöffnungsbegehren in der Betreibung Nr. aaa des Regionalen Betreibungsamtes Q._____ (Zahlungsbefehl vom 19. September 2023) wird abgewiesen.</w:t>
      </w:r>
    </w:p>
    <w:p>
      <w:r>
        <w:rPr>
          <w:b/>
        </w:rPr>
        <w:t>E. 3</w:t>
      </w:r>
    </w:p>
    <w:p>
      <w:r>
        <w:t>Es wird keine Parteientschädigung zugesprochen."</w:t>
      </w:r>
    </w:p>
    <w:p>
      <w:r>
        <w:rPr>
          <w:b/>
        </w:rPr>
        <w:t>E. 3.1</w:t>
      </w:r>
    </w:p>
    <w:p>
      <w:r>
        <w:t>Beruht die Forderung auf einer durch öffentliche Urkunde festgestellten oder durch Unterschrift bekräftigten Schuldanerkennung, so kann der Gläu- biger die provisorische Rechtsöffnung verlangen (Art. 82 Abs. 1 SchKG). Der Richter spricht dieselbe aus, sofern der Betriebene nicht Einwendun- gen, welche die Schuldanerkennung entkräften, sofort glaubhaft macht (Art. 82 Abs. 2 SchKG). Als Schuldanerkennung im Sinn von Art. 82 Abs. 1 SchKG gilt eine öffentliche oder private Urkunde, aus welcher der unmissverständliche und bedingungslose Wille des Betriebenen hervor- geht, dem Betreibenden eine bestimmte oder leicht bestimmbare und fäl- lige Geldsumme zu zahlen (Urteile des Bundesgerichts 5A_50/2017 vom 18. August 2017 E. 3.1 und 5P.457/2001 vom 5. Februar 2002 E. 2a). Die Frage, ob ein solch gültiger Rechtsöffnungstitel vorliegt, prüft der Rechts- öffnungsrichter von Amtes wegen (Urteil des Bundesgerichts 5A_746/2015 vom 18. Januar 2016 E. 4.2). Der Rechtsöffnungsrichter hat zudem folgende drei Identitäten zu prüfen: (1) die Identität zwischen dem Betreibenden und dem auf dem Rechtsöff- nungstitel genannten Gläubiger, (2) die Identität zwischen dem Betriebenen und dem auf dem Rechtsöffnungstitel genannten Schuldner, sowie (3) die</w:t>
      </w:r>
    </w:p>
    <w:p>
      <w:r>
        <w:t>- 5 - Identität zwischen der in Betreibung gesetzten Forderung und derjenigen, die sich aus dem Rechtsöffnungstitel ergibt (BGE 141 I 97 E. 5.2). Auch die Gläubiger-, Schuldner- und Forderungsidentitäten sind von Amtes wegen zu prüfen. Die Rechtsöffnung ist nur zu erteilen, wenn diese drei Identitäten zweifelsfrei feststehen (BGE 150 III 209 E. 1.2). Die von Amtes wegen zu erfolgende Überprüfung der Identitäten bedeutet dabei nicht, dass das Ge- richt amtswegig nach Tatsachen und diesbezüglichen Beweisen forschen müsste. Die Pflicht zur Prüfung der drei Identitäten von Amtes wegen wirkt sich auf der Tatsachenebene lediglich zugunsten des Schuldners, nicht aber des Gläubigers, aus, indem der Rechtsöffnungsrichter diese Identitä- ten unabhängig von allfälligen Einwänden oder Bestreitungen des Schuld- ners prüft und bei Fehlen auf Abweisung erkennen muss (vgl. BGE 150 III 209 E. 3.7 m.H.).</w:t>
      </w:r>
    </w:p>
    <w:p>
      <w:r>
        <w:rPr>
          <w:b/>
        </w:rPr>
        <w:t>E. 3.2</w:t>
      </w:r>
    </w:p>
    <w:p>
      <w:r>
        <w:t>Die Betreibung Nr. aaa des Regionalen Betreibungsamtes Q._____ wurde gestützt auf das entsprechende Betreibungsbegehren der Klägerin gegen den Beklagten persönlich eingeleitet (Gesuchsbeilage 3). Im entsprechen- den Zahlungsbefehl vom 19. September 2023 wird als Schuldner alsdann auch der Beklagte aufgeführt (Gesuchsbeilage 1). Als Rechtsöffnungstitel hat die Klägerin vor Vorinstanz die Fahrervereinbarung vom 22. Februar 2022 eingereicht, welche als Vertragsparteien die "D._____ AG" (später A._____ AG) und als mit "Kunde" betitelt "B._____ / E._____" aufführt. Als Anschrift des Kunden "B._____ E._____" ist in dieser Fahrervereinbarung die Adresse des Sitzes der mittlerweile in Liquidation stehenden E._____ und nicht die (private Wohn-)Adresse des Beklagten aufgenommen (Be- schwerde S. 2; Gesuchsbeilagen 2 und 3). Die Klägerin hat vor Vorinstanz trotz dieser Diskrepanz keinerlei substanziierte Behauptungen, ge- schweige denn Beweise, zur Schuldnerschaft des Beklagten beigebracht. Wie die Vorinstanz deshalb zurecht ausführte, lässt sich aus der als Rechtsöffnungstitel ins Recht gelegten Fahrervereinbarung somit nicht zweifelsfrei eruieren, ob die E._____ oder der Beklagte Vertragspartei die- ser Vereinbarung ist. Dafür, dass die E._____ und nicht der Beklagte Ver- tragspartei ist, spricht, dass die erste der von der Klägerin vor Vorinstanz eingereichten Rechnungen (Nr. 2022039 vom 10. Mai 2022) an die Ad- resse der GmbH versandt wurde (Gesuchsbeilage 4). Dementsprechend ergibt sich gerade nicht eindeutig, ob der Schuldner, welcher das Schuld- bekenntnis abgegeben hat, identisch ist mit dem im Zahlungsbefehl als Schuldner aufgeführten Beklagten. Die von der Klägerin im Beschwerde- verfahren erstmals hierzu erhobenen Behauptungen und eingereichten Be- weismittel (Übergabebestätigung sowie die Gutschriftsanzeigen [Be- schwerdebeilagen 5 und 6]) ändern daran nichts, zumal diese als im Be- schwerdeverfahren unzulässige Noven nicht berücksichtigt werden können (E. 1.1). Selbst wenn die im Beschwerdeverfahren zusätzlich eingereichten Unterlagen zu berücksichtigt wären, zeigt das Abschlusszertifikat der Docu- Sign (Beschwerdebeilage 8) auf, dass die Fahrervereinbarung durch den</w:t>
      </w:r>
    </w:p>
    <w:p>
      <w:r>
        <w:t>- 6 - Beklagten unter Verwendung der E-Mailadresse "aaa@aaa.ch" unterzeich- net wurde, obwohl der Beklagte auch über eine private E-Mailadresse ver- fügt (vgl. Gesuchsbeilage 4 [Rechnungen]), was deshalb weiterhin zumin- dest nicht ausschliessen lässt, dass die E._____ mit der als Rechtsöff- nungstitel eingereichten Fahrervereinbarung hätte verpflichtet werden sol- len. Im Übrigen traf die Klägerin eine Präsentationspflicht hinsichtlich des Rechtsöffnungstitels. Die Vorinstanz war demgegenüber – entgegen der Ansicht der Klägerin – nicht verpflichtet, diese zur Eingabe weiterer Unter- lagen hinsichtlich der Schuldneridentität aufzufordern (vgl. Urteil des Ober- gerichts Aargau, 3. Zivilkammer, ZSU.2024.86 vom 11. Juli 2024 E. 2.3.1). Damit fehlt es an der für einen tauglichen Rechtsöffnungstitel erforderlichen Schuldneridentität und somit an einem tauglichen Rechtsöffnungstitel, wes- halb die übrigen Vorbringen der Klägerin in deren Beschwerde nicht geprüft werden müssen.</w:t>
      </w:r>
    </w:p>
    <w:p>
      <w:r>
        <w:rPr>
          <w:b/>
        </w:rPr>
        <w:t>E. 3.3</w:t>
      </w:r>
    </w:p>
    <w:p>
      <w:r>
        <w:t>Zusammenfassend wurde mit angefochtenem Entscheid mangels Vorlie- gen eines Rechtsöffnungstitels zu Recht keine provisorische Rechtsöff- nung erteilt, weshalb die Beschwerde abzuweisen ist.</w:t>
      </w:r>
    </w:p>
    <w:p>
      <w:r>
        <w:rPr>
          <w:b/>
        </w:rPr>
        <w:t>E. 4</w:t>
      </w:r>
    </w:p>
    <w:p>
      <w:r>
        <w:t>Ausgangsgemäss sind die Prozesskosten der Klägerin aufzuerlegen (Art. 106 Abs. 1 ZPO i.V.m. Art. 95 Abs. 1 ZPO). Die obergerichtlichen Ge- richtskosten sind auf Fr. 375.00 festzusetzen (Art. 48 GebV SchKG i.V.m. Art. 61 Abs. 1 GebV SchKG) und mit dem von der Klägerin in gleicher Höhe geleisteten Kostenvorschuss zu verrechnen (Art. 111 Abs. 1 ZPO). Dem Beklagten ist im Beschwerdeverfahren kein entschädigungspflichtiger Auf- wand entstanden. Es ist entsprechend keine Parteientschädigung zuzu- sprechen. Das Obergericht erkennt: 1. Die Beschwerde wird abgewiesen. 2. Die obergerichtliche Entscheidgebühr von Fr. 375.00 wird der Klägerin auf- erlegt. 3. Es werden keine Parteientschädigungen zugesprochen.</w:t>
      </w:r>
    </w:p>
    <w:p>
      <w:r>
        <w:t>- 7 -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3'350.00.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 fassungsbeschwerde geführt, sind beide Rechtsmittel in der gleichen Rechtsschrift einzu- reichen (Art. 119 Abs. 1 BGG).</w:t>
      </w:r>
    </w:p>
    <w:p>
      <w:r>
        <w:t>- 8 - Aarau, 26. Februar 2025 Obergericht des Kantons Aargau Zivilgericht, 3. Kammer Die Präsidentin: Der Gerichtsschreiber: Massari Hungerbühler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