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ZSU.2024.215 vom 4. Juni 2025</w:t>
      </w:r>
    </w:p>
    <w:p>
      <w:r>
        <w:t>Ag Zivilgericht, 2025-06-04, DE</w:t>
      </w:r>
    </w:p>
    <w:p>
      <w:r>
        <w:rPr>
          <w:b/>
        </w:rPr>
        <w:t xml:space="preserve">Quelle: </w:t>
      </w:r>
      <w:r>
        <w:t>https://mcp.opencaselaw.ch/entscheid/ag_zivilgericht_ZSU.2024.215</w:t>
      </w:r>
    </w:p>
    <w:p>
      <w:r>
        <w:t>FR: AG_ZIVILGERICHT ZSU.2024.215 du 4 juin 2025</w:t>
      </w:r>
    </w:p>
    <w:p>
      <w:r>
        <w:t>IT: AG_ZIVILGERICHT ZSU.2024.215 del 4 giugno 2025</w:t>
      </w:r>
    </w:p>
    <w:p>
      <w:pPr>
        <w:pStyle w:val="Heading2"/>
      </w:pPr>
      <w:r>
        <w:t>Erwägungen</w:t>
      </w:r>
    </w:p>
    <w:p>
      <w:r>
        <w:rPr>
          <w:b/>
        </w:rPr>
        <w:t>E. 1</w:t>
      </w:r>
    </w:p>
    <w:p>
      <w:r>
        <w:t>A._____ (nachfolgend: Gesuchstellerin) beantragte mit Eingabe vom</w:t>
      </w:r>
    </w:p>
    <w:p>
      <w:r>
        <w:rPr>
          <w:b/>
        </w:rPr>
        <w:t>E. 6</w:t>
      </w:r>
    </w:p>
    <w:p>
      <w:r>
        <w:t>Zusammenfassend hat die Vorinstanz das Gesuch der Gesuchstellerin um Bewilligung der unentgeltlichen Rechtspflege im Ergebnis zu Recht abge- wiesen. Folglich ist die gegen die Verfügung vom 10. September 2024 er- hobene Beschwerde abzuweisen.</w:t>
      </w:r>
    </w:p>
    <w:p>
      <w:r>
        <w:rPr>
          <w:b/>
        </w:rPr>
        <w:t>E. 7</w:t>
      </w:r>
    </w:p>
    <w:p>
      <w:r>
        <w:t>Aus den vorstehenden Ausführungen ergibt sich, dass im vorliegenden Be- schwerdeverfahren die Gewinnaussichten von Anfang an beträchtlich ge- ringer waren als die Verlustgefahren, weshalb sie kaum als ernsthaft be- zeichnet werden konnten. Daher war die Beschwerde gegen die vor- instanzliche Verfügung vom 10. September 2024 von vornherein</w:t>
      </w:r>
    </w:p>
    <w:p>
      <w:r>
        <w:t>- 11 - aussichtslos i.S.v. Art. 117 lit. b ZPO (statt vieler BGE 142 III 138 E. 5.1 m.w.H). Das Gesuch um Bewilligung der unentgeltlichen Rechtspflege für das Beschwerdeverfahren ist deshalb abzuweisen.</w:t>
      </w:r>
    </w:p>
    <w:p>
      <w:r>
        <w:rPr>
          <w:b/>
        </w:rPr>
        <w:t>E. 8</w:t>
      </w:r>
    </w:p>
    <w:p>
      <w:r>
        <w:t>Bei diesem Ausgang des Beschwerdeverfahrens hat die Gesuchstellerin die obergerichtliche Entscheidgebühr zu bezahlen (Art. 106 Abs. 1 ZPO; BGE 137 III 470), welche auf Fr. 500.00 festzusetzen ist (Art. 96 ZPO i.V.m. § 10 Abs. 2 lit. b GebührD), und ihre Parteikosten selber zu tragen. Das Obergericht beschliesst: Das Gesuch um Bewilligung der unentgeltlichen Rechtspflege für das Be- schwerdeverfahren wird abgewiesen. Das Obergericht erkennt: 1. Die Beschwerde wird abgewiesen. 2. Die obergerichtliche Entscheidgebühr von Fr. 500.00 wird der Gesuch- stellerin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4. Juni 2025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