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ZSU.2023.38 vom 23. Mai 2023</w:t>
      </w:r>
    </w:p>
    <w:p>
      <w:r>
        <w:t>Ag Zivilgericht, 2023-05-23, DE</w:t>
      </w:r>
    </w:p>
    <w:p>
      <w:r>
        <w:rPr>
          <w:b/>
        </w:rPr>
        <w:t xml:space="preserve">Quelle: </w:t>
      </w:r>
      <w:r>
        <w:t>https://mcp.opencaselaw.ch/entscheid/ag_zivilgericht_ZSU.2023.38</w:t>
      </w:r>
    </w:p>
    <w:p>
      <w:r>
        <w:t>FR: AG_ZIVILGERICHT ZSU.2023.38 du 23 mai 2023</w:t>
      </w:r>
    </w:p>
    <w:p>
      <w:r>
        <w:t>IT: AG_ZIVILGERICHT ZSU.2023.38 del 23 maggio 2023</w:t>
      </w:r>
    </w:p>
    <w:p>
      <w:pPr>
        <w:pStyle w:val="Heading2"/>
      </w:pPr>
      <w:r>
        <w:t>Erwägungen</w:t>
      </w:r>
    </w:p>
    <w:p>
      <w:r>
        <w:rPr>
          <w:b/>
        </w:rPr>
        <w:t>E. 1</w:t>
      </w:r>
    </w:p>
    <w:p>
      <w:r>
        <w:t>Mit Zahlungsbefehl Nr. [...] des Regionalen Betreibungsamtes Buchs vom 13. Mai 2022 betrieb die Klägerin den Beklagten für den Betrag von insge- samt Fr. 9'350.00 zzgl. Zahlungsbefehlskosten von Fr. 73.30. Als Forde- rungsurkunde bzw. Forderungsgrund wurde im Zahlungsbefehl angege- ben: "1. Forderung CHF 8'997.60 Diverse Materiallieferungen sowie Verlustschein 19.04.2017 – aus Zession: C.</w:t>
      </w:r>
    </w:p>
    <w:p>
      <w:r>
        <w:rPr>
          <w:b/>
        </w:rPr>
        <w:t>E. 2</w:t>
      </w:r>
    </w:p>
    <w:p>
      <w:r>
        <w:t>Die Entscheidgebühr von Fr. 300.00 wird dem Gesuchsgegner zu 4/5 mit Fr. 240.00 und der Gesuchstellerin zu 1/5 mit Fr. 60.00 auferlegt. Sie wird mit dem Kostenvorschuss der Gesuchstellerin in der Höhe von Fr. 300.00 verrechnet, so dass der Gesuchsgegner der Gesuchstellerin den Betrag von Fr. 240.00 direkt zu ersetzen hat.</w:t>
      </w:r>
    </w:p>
    <w:p>
      <w:r>
        <w:t>- 3 -</w:t>
      </w:r>
    </w:p>
    <w:p>
      <w:r>
        <w:rPr>
          <w:b/>
        </w:rPr>
        <w:t>E. 2.1</w:t>
      </w:r>
    </w:p>
    <w:p>
      <w:r>
        <w:t>Die Vorinstanz erwog, dass die Klägerin die provisorische Rechtsöffnung für die Forderung in Höhe von Fr. 8'997.60 verlangt und als Rechtsöff- nungstitel den Konkursverlustschein vom 19. April 2017 über einen unge- deckt gebliebenen Betrag in Höhe von Fr. 8'997.60 mit dem Vermerk, dass der genannte Betrag vom Konkursiten nicht bestritten wurde, eingereicht habe. Demnach liege dem genannten Betrag ein provisorischer Rechtsöff-</w:t>
      </w:r>
    </w:p>
    <w:p>
      <w:r>
        <w:t>- 4 - nungstitel im Sinne von Art. 82 Abs. 1 SchKG zugrunde. Der Beklagte ma- che jedoch geltend, dass die Grundforderung lediglich Fr. 7'273.60 be- trage. Hierfür habe er den Zahlungsbefehl des Betreibungsamtes Ehren- dingen vom 1. Juni 2006 (recte: 1. Juni 2005) ins Recht gelegt, worin die C. als Gläubigerin, die Forderung in Höhe von Fr. 7'123.50, Mahnspesen in Höhe von Fr. 150.00 sowie als Forderungsgrund «diverse Materialliefe- rungen» aufgeführt würden. Demgegenüber habe die Klägerin keine Un- terlagen der dem Konkursverlustschein zugrunde liegenden Forderung (Grundforderung) eingereicht. Die Vorinstanz erwog weiter, dass es An- haltspunkte dafür gebe, dass es sich bei der Forderung im Konkursverlust- schein um dieselbe Forderung wie im Zahlungsbefehl vom 1. Juni 2005 handle. Aufgrund der unterschiedlichen Forderungshöhe bestünden zumin- dest begründete Zweifel, dass sich die auf dem Konkursverlustschein aus- gewiesene Forderung vollumfänglich mit der Grundforderung decke. Die entsprechende Einwendung des Beklagten [für den Betrag von Fr. 1'724.10 bestehe keine rechtliche Grundlage] erwiese sich als glaubhaft, weshalb lediglich für den anerkannten Forderungsbetrag von Fr. 7'273.60 provisori- sche Rechtsöffnung erteilt werden könne (angefochtener Entscheid, E. 3.2).</w:t>
      </w:r>
    </w:p>
    <w:p>
      <w:r>
        <w:rPr>
          <w:b/>
        </w:rPr>
        <w:t>E. 2.2</w:t>
      </w:r>
    </w:p>
    <w:p>
      <w:r>
        <w:t>Die Klägerin führt in der Beschwerde aus, dass es sich sowohl im Zah- lungsbefehl vom 1. Juni 2005 als auch im Zahlungsbefehl vom 13. Mai 2022 beim Forderungsgrund um "diverse Materiallieferungen" handle. Die Erhö- hung der Forderung sei dem Umstand geschuldet, dass zwischen dem Zahlungsbefehl vom 1. Juni 2005 und dem Zahlungsbefehl vom 13. Mai 2022 ein Konkursverfahren stattgefunden habe, aus dem ein Konkursver- lustschein resultiert habe. Der Zahlungsbefehl vom 13. Mai 2022 stütze sich zusätzlich als Forderungsgrund denn auch auf diesen Verlustschein. In Erwägung 3.2 verkenne die Vorinstanz, dass in der im Konkursverlust- schein aufgeführten Forderung neben der Grundforderung von Fr. 7'123.50 noch weitere Kosten Eingang gefunden hätten, welche vom Beklagten zu tragen seien. So hätte nebst der Grundforderung auch der Verzugszins in Höhe von 6 % seit dem 30. November 2004 Eingang in den Konkursver- lustschein gefunden. Daneben hätten auch die Betreibungskosten Eingang gefunden. Im Gegensatz zum Zahlungsbefehl vom 1. Juni 2005 habe sich die Forderung im Verlustschein daher um Fr. 1'874.10 erhöht (Beschwerde, Rz. 14). Dieser im Gegensatz zum Zahlungsbefehl vom 1. Juni 2005 er- höhte Betrag sei vom Beklagten im Konkursverlustschein denn auch nicht bestritten und somit anerkannt worden. In seiner Stellungnahme vom 26. Januar 2023 habe der Beklagte lediglich festgehalten, dass er von ei- ner Forderung von Fr. 7'273.60 ausgehe. Den Rest schreibe er dabei le- diglich wilder Fantasie der Klägerin zu. Der Beklagte unterlasse also insge- samt Einwendungen zivilrechtlicher Natur, wie beispielsweise Nichtbestand oder Erlöschen der Forderung, geltend zu machen. Demzufolge sei ihr für</w:t>
      </w:r>
    </w:p>
    <w:p>
      <w:r>
        <w:t>- 5 - den ganzen Betrag (Fr. 8'997.60) provisorische Rechtsöffnung zu erteilen (Beschwerde, S. 4 f.).</w:t>
      </w:r>
    </w:p>
    <w:p>
      <w:r>
        <w:rPr>
          <w:b/>
        </w:rPr>
        <w:t>E. 2.3</w:t>
      </w:r>
    </w:p>
    <w:p>
      <w:r>
        <w:t>Mit Entscheid vom 9. Februar 2023 erkannte die Präsidentin des Bezirks- gerichts Aarau: "1. Der Gesuchstellerin wird in der Betreibung Nr. [...] des Regionalen Betreibungsamtes Buchs (Zahlungsbefehl vom 13. Mai 2022; Rechtshängigkeit des Rechtsöffnungsbegeh- rens am 6. Januar 2023) für den Betrag von Fr. 7'273.60 provisorische Rechtsöffnung er- teilt.</w:t>
      </w:r>
    </w:p>
    <w:p>
      <w:r>
        <w:rPr>
          <w:b/>
        </w:rPr>
        <w:t>E. 3</w:t>
      </w:r>
    </w:p>
    <w:p>
      <w:r>
        <w:t>Der Gesuchgegner wird verpflichtet, der Gesuchstellerin eine Parteientschädigung von Fr. 270.65 zu bezahlen."</w:t>
      </w:r>
    </w:p>
    <w:p>
      <w:r>
        <w:rPr>
          <w:b/>
        </w:rPr>
        <w:t>E. 3.1</w:t>
      </w:r>
    </w:p>
    <w:p>
      <w:r>
        <w:t>Der Gläubiger kann die provisorische Rechtsöffnung verlangen, wenn seine Forderung auf einer durch öffentliche Urkunde festgestellten oder durch Unterschrift bekräftigten Schuldanerkennung beruht (Art. 82 Abs. 1 SchKG). Der Konkursverlustschein gilt als Schuldanerkennung, soweit die darin angegebene Forderung vom Konkursiten anerkannt worden ist (Art. 265 Abs. 1 SchKG). Eine Unterzeichnung des Konkursiten ist nicht er- forderlich (Urteil des Bundesgerichts 5A_684/2018 vom 24. Juli 2019 E. 2). Die Anerkennung im Konkursverfahren bewirkt keine Novation (BGE 116 III 66 E. 4b) und in einem späteren Rechtsöffnungsverfahren stehen dem Schuldner weiterhin alle Einreden aus dem Grundverhältnis zu (Urteile des Bundesgerichts 4A_259/2020 vom 26. Februar 2021 E. 3.1; 4A_480/2017 vom 2. Mai 2018 E. 4.2.1). Die Frage, ob ein gültiger Rechtsöffnungstitel vorliegt, prüft der Rechtsöff- nungsrichter von Amtes wegen (BGE 105 III 43 E. 2; 103 Ia 47 E. 2e; Urteil des Bundesgerichts 5A_746/2015 vom 18. Januar 2016 E. 4.2). Der Rich- ter spricht die Rechtsöffnung aus, sofern der Betriebene nicht Einwendun- gen, welche die Schuldanerkennung entkräften, sofort glaubhaft macht (Art. 82 Abs. 2 SchKG). Es sind dabei alle Einwendungen und Einreden zu hören, welche zivilrechtlich von Bedeutung sind (BGE 145 III 20 E. 4.1.2; 142 III 720 E. 4.1), wie der Nichtbestand der Schuld (Urteil des Bundesge- richts 5A_89/2019 vom 1. Mai 2019 E. 5.1.4). Es obliegt dem Schuldner, glaubhaft zu machen, dass die der Schuldanerkennung zugrunde liegende Forderung nicht besteht oder nicht geltend gemacht werden kann (STAEHE- LIN, in: Basler Kommentar, Bundesgesetz über Schuldbetreibung und Kon- kurs, Band I, 3. Auflage, 2021, N 83 zu Art. 82 SchKG). Glaubhaftmachen im Sinne von Art. 82 Abs. 2 SchKG ist weniger als beweisen, aber mehr als behaupten; der Richter muss überwiegend geneigt sein, an die Wahrheit der vom Betriebenen geltend gemachten Umstände zu glauben (Urteil des Bundesgerichts 5A_845/2009 vom 16. Februar 2010 E. 6.1; STAEHELIN, a.a.O., N 87 zu Art. 82 SchKG). Blosse Behauptungen genügen hingegen nicht (STÜCHELI, Die Rechtsöffnung, Diss. 2000, S. 348 f.).</w:t>
      </w:r>
    </w:p>
    <w:p>
      <w:r>
        <w:rPr>
          <w:b/>
        </w:rPr>
        <w:t>E. 3.2</w:t>
      </w:r>
    </w:p>
    <w:p>
      <w:r>
        <w:t>Die Klägerin bestreitet, dass der Beklagte überhaupt eine Einwendung zi- vilrechtlicher Natur erhoben hat. Der Beklagte bestritt die vorliegend im Streit stehende Summe in seiner Stellungnahme vom 26. Januar 2023 einzig damit, dass die Klägerin eine blühende Fantasie zu haben scheine. Zwar hielt er ergänzend fest, dass im Umfang von Fr. 1'724.10 keine rechtliche Grundlage bestehe, womit er</w:t>
      </w:r>
    </w:p>
    <w:p>
      <w:r>
        <w:t>- 6 - dem Sinne nach wohl den Bestand der Forderung bestritt. Hierbei handelt es sich wohl um eine Einwendung zivilrechtlicher Natur. Sie erfolgte aller- dings gänzlich unsubstanziiert, womit es gar nicht möglich war, sie ohne Verletzung der Verhandlungsmaxime (Art. 55 Abs. 1 ZPO) auf ihre Glaub- haftigkeit zu überprüfen. Eine Substanziierung dieser Behauptung wäre al- lein schon deshalb notwendig gewesen, weil die Behauptung, die Forde- rung bestehe im Umfang von Fr. 1'724.00 nicht, im Widerspruch zum Kon- kursverlustschein vom 19. April 2017 steht, aus welchem hervorgeht, dass die Forderung von Fr. 8'997.60 vom Beklagten nicht bestritten wurde. Kor- rekterweise hätte die Vorinstanz deshalb auf diesen unsubstanziierten Ein- wand gar nicht erst eingehen dürfen und feststellen müssen, dass der Be- klagte keine glaubhafte Einwendung vorgebracht hat, welche die Schuld- anerkennung zu entkräften vermag. Der Klägerin ist somit im Ergebnis Recht zu geben, wenn sie das Vorgehen der Vorinstanz kritisiert. Selbst wenn diese Einwendung des Beklagten als ausreichend substanzi- iert betrachtet würde, weil sie sich im Zusammenhang mit dem vom Be- klagten eingereichten Zahlungsbefehl vom 1. Juni 2005 ausreichend nach- vollziehen lässt, wäre ihr kein Erfolg beschieden (vgl. nachfolgend).</w:t>
      </w:r>
    </w:p>
    <w:p>
      <w:r>
        <w:rPr>
          <w:b/>
        </w:rPr>
        <w:t>E. 3.3</w:t>
      </w:r>
    </w:p>
    <w:p>
      <w:r>
        <w:t>Wie die Klägerin zu Recht vorbringt, obliegt es dem Beklagten, die im Kon- kursverlustschein vom 19. April 2017 festgehaltene Forderung in Höhe von Fr. 8'997.60 zu entkräften (vgl. E. 3.1 hiervor). Es ist unbestritten, dass der Zahlungsbefehl vom 1. Juni 2005, der Kon- kursverlustschein vom 19. April 2017 und der Zahlungsbefehl vom 13. Mai 2022 auf derselben Grundforderung, nämlich Fr. 7'123.50, basieren. Der Zahlungsbefehl vom 1. Juni 2005 führt die Forderung von Fr. 7'123.50 zzgl.</w:t>
      </w:r>
    </w:p>
    <w:p>
      <w:r>
        <w:rPr>
          <w:b/>
        </w:rPr>
        <w:t>E. 6</w:t>
      </w:r>
    </w:p>
    <w:p>
      <w:r>
        <w:t>% Zins seit dem 30. November 2004 und Mahnspesen von Fr. 150.00 so- wie die Kosten des Zahlungsbefehls von Fr. 70.00 auf. Unter Berücksichti- gung, dass die Konkurseröffnung über den Beklagten am 16. Januar 2017 erfolgte, womit die Forderung fällig wurde und der Zinsenlauf aufhörte (Art. 208 Abs. 1 und Art. 209 Abs. 1 SchKG), ergibt sich bereits unter Be- rücksichtigung des im Zahlungsbefehl vom 1. Juni 2005 erwähnten Zins von 6 % seit 30. November 2004 eine Summe, welche weit über der im Konkursverlustschein genannten Forderung von Fr. 8'997.60 liegt. Zwi- schen den im Konkursverlustschein und im Zahlungsbefehl vom 1. Juni 2005 aufgeführten Beträgen besteht somit kein Widerspruch bzw. lässt sich die Differenz von Fr. 1'724.00 nach dem Gesagten mit der im Zahlungsbe- fehl aufgeführten Zinsforderung ohne Weiteres erklären. Folglich reicht die bloss (sinngemäss erhobene) Behauptung, wonach im Umfang von Fr. 1'724.00 keine Forderung bestehe, nicht, um die Schuldanerkennung (Konkursverlustschein) zu entkräften.</w:t>
      </w:r>
    </w:p>
    <w:p>
      <w:r>
        <w:t>- 7 - Die Beschwerde erweist sich damit als begründet und der Klägerin ist im Umfang von Fr. 8'997.60 provisorische Rechtsöffnung zu erteilen. 4. 4.1. Bei diesem Ausgang hat der Beklagte die erst- und zweitinstanzlichen Ge- richtskosten zu tragen und der Klägerin für beide Verfahren eine Parteient- schädigung zu entrichten (Art. 106 Abs. 1 ZPO; Art. 61 Abs. 1 i.V.m. Art. 48 Abs. 1 GebV SchKG). 4.2. Die Vorinstanz hat die Entscheidgebühr auf Fr. 300.00 festgesetzt, was ta- rifkonform und unbestritten ist (Art. 48 Abs. 1 GebV SchKG). Für das Be- schwerdeverfahren ist die Gebühr auf Fr. 375.00 festzusetzen (Art. 61 Abs. 1 i.V.m. Art. 48 Abs. 1 GebV SchKG). 4.3. Gemäss § 3 Abs. 2 des Dekretes über die Entschädigung der Anwälte (An- waltstarif [AnwT], SAR 291.150) beträgt die Grundentschädigung im Voll- streckungsverfahren 10-50 % der Ansätze gemäss § 3 Abs. 1 des Anwalts- tarifes. Die Vorinstanz setzte die Entschädigung der Klägerin ausgehend von ei- nem Streitwert von Fr. 8'997.60 auf Fr. 338.30 fest (10 % der Grundent- schädigung gemäss § 3 Abs. 1 lit. a Ziff. 2 AnwT zzgl. Auslagen und MWSt.). Mit Beschwerde bringt die Klägerin vor, dass die Entschädigung beim vollständigen Obsiegen erhöht werden müsse, "auf den kantonal üb- lichen Tarif in Höhe von Fr. 584.90 (§ 3 Abs. 2 Anwaltstarif AG)". Zutreffend ist, dass die Klägerin aufgrund ihres Obsiegens "mehr", d.h. vollständig vom Beklagten zu entschädigen ist. Ebenso trifft zwar zu, dass die Ent- schädigung (auch) anhand von § 3 Abs. 2 AnwT zu bemessen ist. Weshalb die verlangte Entschädigung von Fr. 584.90 allerdings dem kantonal übli- chen Tarif entsprechen soll, erschliesst sich nicht. Bei einem Streitwert von Fr. 8'997.60 beträgt die Grundentschädigung für das Anwaltshonorar im erstinstanzlichen Verfahren Fr. 3'029.50 (§ 3 Abs. 1 lit. a AnwT). Der von der Vorinstanz gestützt auf § 3 Abs. 2 AnwT ange- wendete Ansatz von 10 % der Grundentschädigung erscheint mit Blick auf das Ergebnis allerdings in der Tat zu tief. Der vorliegenden Sache ange- messen erscheint ein Ansatz von 20 %. Unter Berücksichtigung eines Ab- zugs für die entfallene Verhandlung von 20 % (vgl. § 6 Abs. 1 AnwT) sowie den geltend gemachten Auslagen von Fr. 11.10, aber ohne MWST (vgl. AGVE 2011, S. 465 f.), ergibt sich ein Honorar von Fr. 495.80. Für das Beschwerdeverfahren ist die Entschädigung beim verbliebenen Streitwert von Fr. 1'724.00 nach Massgabe von § 8 Abs. 1 i.V.m. § 3 Abs. 1</w:t>
      </w:r>
    </w:p>
    <w:p>
      <w:r>
        <w:t>- 8 - und 2 sowie § 6 Abs. 1 und 2 AnwT (Grundentschädigung Fr. 1'489.30; da- von 40 % [die Beschwerde verlangte eine grössere Begründungsdichte als noch das Rechtsöffnungsbegehren, weshalb sich die Anwendung eines hö- heren Ansatzes rechtfertigt]; abzgl. 20 % für entfallene Verhandlung und 25 % Rechtsmittelabzug) zuzüglich einer Auslagenpauschale von Fr. 15.00 (§ 13 Abs. 1 AnwT), aber ohne MWSt (vgl. AGVE 2011, S. 465 f.), auf Fr. 372.40 festzusetzen. Das Obergericht erkennt: 1. In Gutheissung der Beschwerde wird der Entscheid der Präsidentin des Bezirksgerichts Aarau vom 9. Februar 2023 vollständig aufgehoben und wie folgt ersetzt: 1. Der Gesuchstellerin wird in der Betreibung Nr. [...] des Regionalen Betrei- bungsamtes Buchs (Zahlungsbefehl vom 13. Mai 2022; Rechtshängigkeit des Rechtsöffnungsbegehrens am 6. Januar 2023) für den Betrag von Fr. 8'997.60 die provisorische Rechtsöffnung erteilt. 2. Die Entscheidgebühr von Fr. 300.00 wird dem Gesuchsgegner auferlegt. Sie wird mit dem Kostenvorschuss der Gesuchstellerin in Höhe von Fr. 300.00 verrechnet, so dass der Gesuchsgegner der Gesuchstellerin den Betrag von Fr. 300.00 direkt zu ersetzen hat. 3. Der Gesuchsgegner wird verpflichtet, der Gesuchstellerin eine Parteient- schädigung von Fr. 495.80 (inkl. Auslagen) zu bezahlen. 2. Die obergerichtliche Entscheidgebühr von Fr. 375.00 wird dem Beklagten auferlegt und mit dem von der Klägerin geleisteten Kostenvorschuss von Fr. 450.00 verrechnet, so dass der Beklagte der Klägerin Fr. 375.00 direkt zu ersetzen hat. 3. Der Beklagte wird verpflichtet, der Klägerin für das Beschwerdeverfahren eine Parteientschädigung von Fr. 372.40 (inkl. Auslagen) zu bezahlen.</w:t>
      </w:r>
    </w:p>
    <w:p>
      <w:r>
        <w:t>- 9 -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1'724.00.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- 10 - Aarau, 23. Mai 2023 Obergericht des Kantons Aargau Zivilgericht, 3. Kammer Die Präsidentin: Die Gerichtsschreiberin: Massari Gilliéron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