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ZSU.2023.24 vom 20. März 2023</w:t>
      </w:r>
    </w:p>
    <w:p>
      <w:r>
        <w:t>Ag Zivilgericht, 2023-03-20, DE</w:t>
      </w:r>
    </w:p>
    <w:p>
      <w:r>
        <w:rPr>
          <w:b/>
        </w:rPr>
        <w:t xml:space="preserve">Quelle: </w:t>
      </w:r>
      <w:r>
        <w:t>https://mcp.opencaselaw.ch/entscheid/ag_zivilgericht_ZSU.2023.24</w:t>
      </w:r>
    </w:p>
    <w:p>
      <w:r>
        <w:t>FR: AG_ZIVILGERICHT ZSU.2023.24 du 20 mars 2023</w:t>
      </w:r>
    </w:p>
    <w:p>
      <w:r>
        <w:t>IT: AG_ZIVILGERICHT ZSU.2023.24 del 20 marzo 2023</w:t>
      </w:r>
    </w:p>
    <w:p>
      <w:pPr>
        <w:pStyle w:val="Heading2"/>
      </w:pPr>
      <w:r>
        <w:t>Erwägungen</w:t>
      </w:r>
    </w:p>
    <w:p>
      <w:r>
        <w:rPr>
          <w:b/>
        </w:rPr>
        <w:t>E. 1</w:t>
      </w:r>
    </w:p>
    <w:p>
      <w:r>
        <w:t>Rechtsöffnungsentscheide sind mit Beschwerde anfechtbar (Art. 319 lit. a in Verbindung mit Art. 309 lit. b Ziff. 3 ZPO). Nachdem der Beklagte durch die von der Vorinstanz erteilte definitive Rechtsöffnung beschwert ist und er die in Art. 321 Abs. 1 und 2 ZPO statuierten Frist- und Formvorschriften eingehalten hat, ist auf seine Beschwerde grundsätzlich einzutreten. Mit Bezug auf die "Anträge" 2 und 3 ist festzuhalten, dass es sich dabei nicht um Rechtsmittelanträge handelt, d.h. Willensbekundungen, wie der vorinstanzliche Entscheid geändert werden soll. Auf die darin enthaltene Bitte um Wahrung der Anzeigepflicht nach Art. 34 Abs. 1 EG StPO betref- fend mutmasslich von S. Amtspersonen begangene Straftaten mit Kopie an den Beklagten gemäss Art. 6 BGÖ (innert vom Beklagten gesetzter Frist) ist nicht weiter einzugehen. Die Einreichung von Strafanzeigen ist nicht Ge- genstand des Rechtsöffnungsverfahrens. Zudem sind, abgesehen davon, dass Art. 6 BGÖ auf das vorliegende kantonale Gerichtsverfahren von vornherein keine Anwendung findet (vgl. Art. 2 und 3 BGÖ zum persönli- chen und sachlichen Geltungsbereich dieses Bundesgesetzes), keine Ver- brechen oder schwere Vergehen ersichtlich, die das Obergericht zu einer Strafanzeige verpflichten würden. Mit seiner Beschwerde (Antrag Ziffer 5) verlangt der Beklagte zudem neu eine Genugtuung "für erlittenes Unrecht durch staatliche Amtsträger". Da- bei handelt es sich um ein neues Begehren, welches im Beschwerdever- fahren ausgeschlossen ist (Art. 326 Abs. 1 ZPO). Dazu kommt, dass ein auf Geldzahlung gerichtetes Begehren zu beziffern ist (Art. 84 Abs. 2 ZPO). Auch daran mangelt es vorliegend. Auf das Begehren ist nicht einzutreten.</w:t>
      </w:r>
    </w:p>
    <w:p>
      <w:r>
        <w:rPr>
          <w:b/>
        </w:rPr>
        <w:t>E. 2</w:t>
      </w:r>
    </w:p>
    <w:p>
      <w:r>
        <w:t>Mit der Beschwerde können die unrichtige Rechtsanwendung und die of- fensichtlich unrichtige Feststellung des Sachverhalts geltend gemacht wer- den (Art. 320 ZPO). Offensichtlich unrichtig bedeutet willkürlich (BGE 4A_149/2017 E. 2.2). Neue Anträge, neue Tatsachenbehauptungen und neue Beweismittel sind ausgeschlossen (Art. 326 Abs. 1 ZPO). Das gilt sowohl für echte als auch für unechte Noven, weil die Beschwerde nicht der Fortführung des erstinstanzlichen Prozesses, sondern grundsätzlich nur der Rechtskontrolle des erstinstanzlichen Entscheids dient (FREI- BURGHAUS/AFHELDT, in: Sutter-Somm/Hasenböhler/Leuenberger, Kom- mentar zur Schweizerischen Zivilprozessordnung, 3. Aufl. 2016, N. 3 f. zu Art. 326 ZPO).</w:t>
      </w:r>
    </w:p>
    <w:p>
      <w:r>
        <w:t>- 5 -</w:t>
      </w:r>
    </w:p>
    <w:p>
      <w:r>
        <w:rPr>
          <w:b/>
        </w:rPr>
        <w:t>E. 3</w:t>
      </w:r>
    </w:p>
    <w:p>
      <w:r>
        <w:t>Die Vorinstanz hat im angefochtenen Entscheid das klägerische Rechtsöff- nungsbegehren gutgeheissen und zur Begründung – nach zutreffenden Ausführungen zur Rechtslage, auf die vollumfänglich verwiesen werden kann (angefochtener Entscheid E. 2) – dafürgehalten, der Kläger habe als Rechtsöffnungstitel ein als Rechnung/Verfügung betiteltes Dokument ins Recht (Gesuchsbeilage 2 [Nummerierung durch Obergericht hinzugefügt]) eingereicht, dessen Rechtskraft durch die zuständige Behörde am 22. Sep- tember 2022 bescheinigt worden sei (Gesuchsbeilage 5). Der Beklagte habe in seiner Stellungnahme vom 16. Oktober 2022 insbesondere geltend gemacht, die F. habe beim Handelsregister in Solothurn die Mutation (ge- meint die Löschung des Beklagten als Verwaltungsrat der besagten AG aus dem Register) zur Eintragung gebracht; doch glaube G. vom Kanton Solo- thurn nicht, dass die F. die Mutation veranlasst habe, sondern er privat, weshalb das Handelsregisteramt Solothurn von ihm privat Fr. 60.00 wolle. Auf diesen Einwand des Beklagten könne im vorliegenden Vollstreckungs- verfahren nicht mehr eingegangen werden. Er hätte auf dem Rechtsmittel- weg gegen die Verfügung selbst vorgebracht werden müssen. Das sei nicht geschehen, weshalb die Verfügung in Rechtskraft erwachsen sei. Die For- derung des Klägers sei in voller Höhe ausgewiesen und fällig, weshalb dem Rechtsöffnungsbegehren über diesen Betrag zu entsprechen sei (ange- fochtener Entscheid 3 und 4).</w:t>
      </w:r>
    </w:p>
    <w:p>
      <w:r>
        <w:rPr>
          <w:b/>
        </w:rPr>
        <w:t>E. 4.1</w:t>
      </w:r>
    </w:p>
    <w:p>
      <w:r>
        <w:t>In seiner Beschwerde und den von ihm im Rechtsöffnungsverfahren ver- fassten Eingaben wie auch in den mit diesen verurkundeten Beilagen schil- dert der Beklagte ausführlich die Vorgeschichte, die zur Rechnung des Handelsregisteramts des Kantons Solothurn geführt hat, für die er betrie- ben wurde und für die nun im vorliegenden Verfahren definitive Rechtsöff- nung verlangt wird. Weil sich die Vorinstanz nach seiner Ansicht nicht zu allen diesen Vorbringen geäussert hat, hält er dieser die Verletzung des rechtlichen Gehörs vor. Aus dem Umstand, dass die Vorinstanz nicht die von ihm als angezeigt erachteten Amtshandlungen (insbesondere Erstat- tung von Anzeigen gegen Amtspersonen des Kantons S., vgl. wiederum die Rechtsmittelanträge 2 und 3) vorgenommen hat, leitet er ferner ab, dass die Vorinstanz verschiedene Straftaten (Begünstigung, Amtsmissbrauch, ungetreue Amtsführung, Falschbeurkundung, arglistige Vermögensschädi- gung sowie Betrug gemäss Art. 305, 312, 314, 317, 151 und 146 StGB) begangen habe (vgl. Beschwerde S. 9).</w:t>
      </w:r>
    </w:p>
    <w:p>
      <w:r>
        <w:rPr>
          <w:b/>
        </w:rPr>
        <w:t>E. 4.2</w:t>
      </w:r>
    </w:p>
    <w:p>
      <w:r>
        <w:t>Abgesehen davon, dass im Beschwerdeverfahren neue Beweismittel – von Gesetzes wegen (vgl. Art. 326 Abs. 1 ZPO) – unbeachtlich sind, übersieht der Beklagte, dass der Anspruch auf rechtliches Gehör nicht verlangt, dass</w:t>
      </w:r>
    </w:p>
    <w:p>
      <w:r>
        <w:t>- 6 - sich eine Behörde in ihrer Entscheidbegründung mit jedem einzelnen Vor- bringen einer Partei auseinandersetzt und jedes einzelne Argument wider- legt. Aus dem Anspruch folgt vielmehr die Verpflichtung der Behörde, ihren Entscheid zu begründen, wobei sie sich auf die für den Entscheid wesent- lichen Punkte beschränken kann und soll. Die Begründung muss so abge- fasst sein, dass sich der Betroffene über die Tragweite des Entscheids Re- chenschaft geben und diesen in voller Kenntnis der Sache an die höhere Instanz weiterziehen kann. In diesem Sinne müssen wenigstens kurz die Überlegungen genannt werden, von denen sich die Behörde hat leiten las- sen und auf die sich ihr Entscheid stützt (BGE 143 III 65 E. 5.2). Vor diesem Hintergrund durfte sich die Vorinstanz grundsätzlich auf die entscheidwesentlichen Vorbringen des Beklagten beschränken (vgl. dazu nachstehende E. 4.3). Was den Beklagten bewog, sein Amt als einziger Verwaltungsrat der F. niederzulegen, ist irrelevant. Von Bedeutung ist, dass er dem Handelsregisteramt Solothurn mit Schreiben vom 12. Januar 2022 (Beilage 5 zur Stellungnahme des Beklagten vom 16. Oktober 2022) mit- teilte: "Hiermit lege ich mein Amt als Verwaltungsrat der F. mit sofortiger Wirkung nieder. Bitte veranlassen Sie die Löschung der Eintragung im Han- delsregister." Dies entspricht der Regelung von Art. 933 OR, wonach jede Änderung von im Handelsregister eingetragenen Tatsachen wiederum ein- getragen werden muss und eine ausgeschiedene Person das Recht hat, die Löschung ihres Eintrags anzumelden (vgl. auch Art. 17 Abs. 2 lit. a Han- delsregisterverordnung [HRegV], wonach die betroffenen Personen die Lö- schung von Mitgliedern der Organe oder die Löschung von Vertretungsbe- fugnissen selbst anmelden können). In der Folge stellte das Handelsregis- teramt Solothurn dem Beklagten für die entsprechend dieser Mitteilung und dem Löschungsantrag erbrachte staatliche Dienstleistung eine Gebühr in Rechnung (Art. 941 Abs. 1 OR; Art. 1 Verordnung über die Gebühren für das Handelsregister [GebV-HReg]). Für die Vorinstanz stellte sich dabei einzig die Frage, ob ihr ein definitiver Rechtsöffnungstitel im Sinne einer rechtskräftigen Verwaltungsverfügung vorgelegt wurde, was zu bejahen ist. Der Kläger stützt sich auf die "Rechnung/Verfügung" des Handelsregister- amts vom 22. Februar 2022, die mit einer Rechtsmittelbelehrung versehen ist (Gesuchsbeilage 2). Gegen diese Verfügung hat der Beklagte unbestrit- tenermassen kein Rechtsmittel ergriffen. Dass die Rechnungsstellung in quantitativer Hinsicht nicht verordnungskonform (vgl. GebV-HReg) erfolgte, machte der Beklagte nicht geltend. Vielmehr erhob er einzig den Einwand, dass zu Unrecht er als Privatperson mit der Rechnung bedacht worden sei, obwohl er das Gesuch um Löschung im Namen der Gesellschaft gestellt habe. Mit diesem in der Beschwerde (S. 7) aufrechterhaltenen Einwand hat sich die Vorinstanz im angefochtenen Entscheid (E. 4) ausdrücklich befasst und dem Beklagten zu Recht entgegengehalten, dass dieser Einwand auf dem Rechtsmittelweg, der dem Beklagten gegen die Verfügung offen stand, hätte vorgebracht werden können und müssen; im vorliegenden Vollstreckungsverfahren könne darauf nicht mehr eingegangen werden.</w:t>
      </w:r>
    </w:p>
    <w:p>
      <w:r>
        <w:t>- 7 -</w:t>
      </w:r>
    </w:p>
    <w:p>
      <w:r>
        <w:rPr>
          <w:b/>
        </w:rPr>
        <w:t>E. 4.3</w:t>
      </w:r>
    </w:p>
    <w:p>
      <w:r>
        <w:t>Zu ergänzen bleibt in diesem Zusammenhang ein Zweifaches:</w:t>
      </w:r>
    </w:p>
    <w:p>
      <w:r>
        <w:rPr>
          <w:b/>
        </w:rPr>
        <w:t>E. 4.3.1</w:t>
      </w:r>
    </w:p>
    <w:p>
      <w:r>
        <w:t>In seiner Beschwerde (S. 7) erklärt der Beklagte, er habe keine Rechtsmit- tel ergriffen, weil er "aus fast fünf Jahren Auseinandersetzung mit der Schweizer Justiz verstanden habe, wie die Schweiz in ihrem Innersten funktionier[e] und wie kantonale Gerichte und Ämter sich finanzier[t]en, über Rechtsbeugung und Amtsmissbrauch, was man im vorliegenden Ver- fahren schon wieder sehr schön erleben und dokumentieren [könne]"; in der vom Kläger eingeleiteten Betreibung habe er Rechtsvorschlag erhoben, weil er als Privatperson keine Mutation angemeldet habe. Diesbezüglich ist dem Beklagten entgegenzuhalten, dass Entscheide staatlicher Behörden (Gerichte oder Verwaltungsbehörden) grundsätzlich (d.h. vorbehältlich ihrer Nichtigkeit, dazu nachfolgende E. 4.3.2) nur auf dem Rechtsmittelweg beseitigt bzw. ausser Kraft gesetzt werden können. Es widerspräche dem Grundsatz der Rechtssicherheit, wenn von einem Entscheid (Urteil oder Verfügung) Betroffene, die von der gesetzlich vorge- sehenen Möglichkeit, einen Entscheid an Rechtsmittelinstanzen weiterzu- ziehen, keinen Gebrauch machen, in Folgeverfahren erfolgreich (angebli- che) Mängel dieses Entscheids geltend machen könnten.</w:t>
      </w:r>
    </w:p>
    <w:p>
      <w:r>
        <w:rPr>
          <w:b/>
        </w:rPr>
        <w:t>E. 4.3.2.1</w:t>
      </w:r>
    </w:p>
    <w:p>
      <w:r>
        <w:t>Immerhin kann ein staatlicher Entscheid nichtig sein. Nichtigkeit ist von je- der Behörde zu jedem Zeitpunkt zu beachten. Allerdings stellt Nichtigkeit eine seltene Ausnahme dar. Nichtig sind Verfügungen nur, wenn der ihr anhaftende Mangel kumulativ schwer und offensichtlich oder zumindest leicht erkennbar ist und wenn die Rechtssicherheit durch die Bejahung der Nichtigkeit nicht ernsthaft gefährdet wird: Zu denken ist in erster Linie an Fälle des Erlasses einer Verfügung durch eine sachlich oder funktionell un- zuständige Behörde, aber auch an schwerwiegende Verfahrensmängel (inkl. Formfehler); inhaltliche Fehler müssen besonders schwer wiegen, um Nichtigkeit zu begründen (vgl. dazu STAEHELIN, Basler Kommentar, 3. Aufl., 2020, N. 128 zu Art. 80 SchKG [mit zahlreichen Hinweisen], der insbeson- dere erwähnt, dass Verletzungen des rechtlichen Gehörs nur in seltenen Fällen und auch inhaltliche Willkür nur in krassen Fällen zu Nichtigkeit füh- ren).</w:t>
      </w:r>
    </w:p>
    <w:p>
      <w:r>
        <w:rPr>
          <w:b/>
        </w:rPr>
        <w:t>E. 4.3.2.2</w:t>
      </w:r>
    </w:p>
    <w:p>
      <w:r>
        <w:t>Vorliegend ist eine Nichtigkeit des vom Kläger eingereichten Rechtsöff- nungstitels nicht erkennbar.</w:t>
      </w:r>
    </w:p>
    <w:p>
      <w:r>
        <w:t>- 8 - 4.3.2.2.1. Ein Mitglied des Verwaltungsrats einer AG kann aus diesem – analog zu Art. 404 OR – jederzeit zurücktreten; statutarische oder reglementarische Einschränkungen des Demissionsrechts sind nicht zulässig, doch kann ein Rücktritt zur Unzeit eine Schadenersatzpflicht – analog zu Art. 404 Abs. 2 OR – auslösen (FORSTMOSER/MEIER-HAYOZ/NOBEL, Schweizerisches Ak- tienrecht, 1996, § 27 Rz. 43; WERNLI/RIZZI, Basler Kommentar, 5. Aufl., 2016, N. 11b zu Art. 710 OR). Problematisch ist die Demission des einzigen Mitglieds des Verwaltungsrats oder eines ganzen Verwaltungsrats, wenn der Gesellschaft keine Gelegenheit zur Bestellung eines neuen Verwal- tungsrats gegeben worden ist; dies stellt eine Verletzung der Sorgfalts- und Treupflicht dar, was zusätzlich zur Schadenersatzpflicht nach Art. 404 Abs. 2 OR analog zu einer Schadenersatzpflicht nach Art. 754 Abs. 1 OR führen kann (WERNLI/RIZZI, a.a.O., N. 11g zu Art. 710 OR). Bei der Demis- sion handelt es sich um eine gesellschaftsinterne Angelegenheit. Gestützt auf die Rücktrittserklärung hat die Gesellschaft beim Handelsregisteramt die Löschung des Eintrags zu erwirken (Art. 933 Abs. 1 OR). Diese Anmel- dung durch die juristische Person erfolgt durch eine (noch) zur Vertretung der Gesellschaft befugte Person. Nach Art. 933 Abs. 2 OR hat aber auch eine ausgeschiedene Person das Recht, die Löschung ihres Eintrags an- zumelden. Die vom Beklagten abgegebene Erklärung vom 12. Januar 2022 an das Handelsregisteramt, dass er "[h]iermit" sein Verwaltungsratsamt niederlege und dass er um die Veranlassung der Löschung des HR-Eintrags bitte (Bei- lage 5 zur Stellungnahme des Beklagten vom 16. Oktober 2022), erfolgte zwar auf Briefpapier der F. und unter der Unterschrift des Beklagten ist an- gegeben: "[...] A. F." Unbesehen dessen, dass der Beklagte somit den Briefkopf der F. verwen- dete und in deren Namen unterzeichnete, handelte es sich inhaltlich nicht um eine Löschungsanmeldung durch die Gesellschaft nach Art. 933 Abs. 1 OR. Denn die Demission hat eben gegenüber der Gesellschaft zu erfolgen, die alsdann durch eine zur Vertretung der Gesellschaft befugte Person die Löschung beim Handelsregister zu beantragen hat. Der Beklagte konnte dieses Vorgehen nicht eigenmächtig durch eine an das Handelsregister ge- richtete Demissionserklärung mit Löschungsanmeldung ersetzen. Demge- mäss ist es korrekt (und auf jeden Fall nicht qualifiziert rechtsfehlerhaft), dass das Handelsregisteramt im Sinne von Art. 1 Abs. 1 GebV-HReg dem Beklagten die Löschung persönlich in Rechnung stellte und damit sinnge- mäss von einer Löschungsanmeldung durch den Beklagten nach Art. 933 Abs. 2 OR ausging.</w:t>
      </w:r>
    </w:p>
    <w:p>
      <w:r>
        <w:t>- 9 - 4.3.2.2.2. Die ausdrücklich in Verfügungsform ergangene Rechnung (Gesuchsbei- lage 2) enthält keine Begründung. Da das Recht auf Entscheidbegründung Teil des Anspruchs auf rechtliches Gehör ist (SUTTER-SOMM/SEILER, Hand- kommentar zur Schweizerischen Zivilprozessordnung, Zürich/Basel/Genf 2021, N. 8 zu Art. 53 ZPO), lässt sich fragen, ob die Absenz einer jeden Begründung eine die Nichtigkeit begründende schwere Gehörsverletzung darstellt. Dies ist zu verneinen. Denn mit Bezug auf Verfahrenskosten sind die Anforderungen an die Begründungspflicht erheblich herabgesetzt. Ei- ner Begründung bedarf die Verlegung von Verfahrenskosten in einem Zweiparteienverfahren, wobei allerdings in aller Regel ein Hinweis auf die angewandte Gesetzesbestimmung ausreicht. Für die Festsetzung der Kos- tenhöhe ist eine Begründung in aller Regel entbehrlich, weil diese anhand der gesetzlichen Tarife nachvollzogen werden kann (vgl. BGE 111 Ia 1; RÜEGG/RÜEGG, Basler Kommentar, 3. Aufl., 2017, N. 1 zu Art. 104 ZPO; STAEHELIN/STAEHELIN/GROLIMUND, Zivilprozessrecht, 3. Aufl., 2019, § 16 Rz. 34). Vorliegend hat das Handelsregisteramt Rechnung für eine unbe- strittenermassen verlangte Dienstleistung (Registerführung) gestellt, wobei solche Dienstleistungen notorisch kostenpflichtig sind. Die Rechnungsstel- lung erfolgte tarifgemäss (vgl. Ziff. 1.3 des Anhangs der GebV-HReg). Un- ter Berücksichtigung dieses speziellen Inhalts des vorliegenden Rechtsöff- nungstitels (Festsetzung einer Gebühr ohne Ermessensbetätigung in ei- nem Einparteienverfahren) ist trotz Fehlens einer Begründung eine Nich- tigkeit zu verneinen.</w:t>
      </w:r>
    </w:p>
    <w:p>
      <w:r>
        <w:rPr>
          <w:b/>
        </w:rPr>
        <w:t>E. 5.1</w:t>
      </w:r>
    </w:p>
    <w:p>
      <w:r>
        <w:t>Im Zusammenhang mit der Begründungspflicht ist zu erwähnen, dass der Beklagte in seiner Beschwerde (S. 4 unten) der Vorinstanz vorwirft, den angefochtenen Rechtsöffnungsentscheid ohne Begründung erlassen und die Begründung erst "15 Tage nach Ablauf der gesetzten Frist (gemeint offenbar die vom Beklagten mit Eingabe vom 21. Dezember 2022 "ge- setzte" Frist, act. 45) eingereicht" zu haben. Der Beklagte verkennt, dass das Gericht einen Entscheid ohne Begrün- dung eröffnen kann, wobei es auf entsprechendes Verlangen einer Partei eine Begründung nachliefern muss (Art. 239 Abs. 1 und 2 ZPO). Dieser Pflicht ist die Vorinstanz nachgekommen, ohne dass es die vom Beklagten mit Eingabe vom 21. Dezember 2022 gesetzte Frist zu beachten hatte.</w:t>
      </w:r>
    </w:p>
    <w:p>
      <w:r>
        <w:rPr>
          <w:b/>
        </w:rPr>
        <w:t>E. 5.2</w:t>
      </w:r>
    </w:p>
    <w:p>
      <w:r>
        <w:t>Der Beklagte stellt ein Ausstandsgesuch gegen die Gerichtspräsidentin, die den angefochtenen Rechtsöffnungsentscheid als Einzelrichterin erlassen hat, dies wegen fehlender Neutralität, Amtswillkür und Verletzung des Grundsatzes von Treu und Glauben, unvollständiger und falscher Sachdar- stellung in der Urteilsbegründung mit Verweigerung des rechtlichen Gehörs</w:t>
      </w:r>
    </w:p>
    <w:p>
      <w:r>
        <w:t>- 10 - unter mutmasslich vorsätzlicher Täuschung des Beklagten und der Folge- instanz zwecks Einschränkung des Entscheidungsspielraums, Fristver- säumnis bei der Urteilsbegründung, Dienstpflichtverletzung im Amt, mut- masslicher Durchführung von Straftaten im Amt und mutmasslicher Mittä- terschaft bei der Durchführung von Straftaten. Ferner stellt der Beklagte Strafanzeige gegen die Gerichtspräsidentin, aber auch gegen die Leiterin Inkasso im klägerischen Amt für Finanzen und ersucht um deren Weiterlei- tung nach § 34 Abs. 1 EG StPO. Im Lichte der bisherigen Ausführungen ist eine Befangenheit der Gerichts- präsidentin nicht erkennbar. Diese hat sich insbesondere keines Verstos- ses gegen den Anspruch des Beklagten auf rechtliches Gehör schuldig ge- macht, sondern sich zu Recht auf das entscheidwesentliche Vorbringen des Beklagten beschränkt (vgl. vorstehende E. 4.2). Durch diese Beschrän- kung hat sie selbstredend auch keine Dienstpflichten bzw. ihre Pflicht zur "Neutralität" oder ihre Pflicht, sich bei Befangenheit in den Ausstand zu be- geben, oder den Grundsatz von Treu und Glauben verletzt, bzw. Amtswill- kür oder gar Straftaten im Amt begangen. Unter diesen Umständen erübrigt sich auch eine Strafanzeige bzw. deren Weiterleitung nach § 34 Abs. 1 EG StPO.</w:t>
      </w:r>
    </w:p>
    <w:p>
      <w:r>
        <w:rPr>
          <w:b/>
        </w:rPr>
        <w:t>E. 6</w:t>
      </w:r>
    </w:p>
    <w:p>
      <w:r>
        <w:t>Nach dem Gesagten erweist sich die Beschwerde als offensichtlich unbe- gründet, weshalb sie abzuweisen ist, soweit darauf einzutreten ist. Auf die Einholung einer Beschwerdeantwort wurde in Anwendung von Art. 322 Abs. 1 ZPO verzichtet. Mit dem vorliegenden Entscheid wird das Gesuch des Beklagten um Aussetzung der Vollstreckung gegenstandslos.</w:t>
      </w:r>
    </w:p>
    <w:p>
      <w:r>
        <w:rPr>
          <w:b/>
        </w:rPr>
        <w:t>E. 7</w:t>
      </w:r>
    </w:p>
    <w:p>
      <w:r>
        <w:t>Ausgangsgemäss wird der Beklagte für das Beschwerdeverfahren kosten- pflichtig. Die Entscheidgebühr ist auf Fr. 120.00 festzusetzen (Art. 48 Abs. 1 und 61 Abs. 1 GebV SchKG). Die Zusprechung einer Parteientschädi- gung an den Kläger entfällt schon deshalb, weil ihm im Beschwerdeverfah- ren kein Aufwand erwachsen ist.</w:t>
      </w:r>
    </w:p>
    <w:p>
      <w:r>
        <w:rPr>
          <w:b/>
        </w:rPr>
        <w:t>E. 8</w:t>
      </w:r>
    </w:p>
    <w:p>
      <w:r>
        <w:t>Der Beklagte ersucht um Bewilligung der unentgeltlichen Rechtspflege. Die Gewährung dieser Rechtswohltat setzt zum einen die Mittellosigkeit der ge- suchstellenden Partei voraus, ferner, dass ihre Begehrensstellung nicht aussichtslos erscheint (Art. 117 ZPO). Wie bereits in der Verfügung der Vorinstanz vom 27. Oktober 2022 betreffend Abweisung des erstinstanzli- chen beklagtischen Gesuchs um Bewilligung der unentgeltlichen Rechts- pflege (act. 23 ff.) festgehalten ist, sind die Gerichtsgebühren im Rechtsöff- nungsverfahren häufig (und so auch vorliegend) derart tief, dass es einer</w:t>
      </w:r>
    </w:p>
    <w:p>
      <w:r>
        <w:t>- 11 - gesuchstellenden Partei zumutbar ist, diese aus dem Grundbetrag zu be- streiten (BGE 114 III 67). Die Beschwerde des Beklagten war zudem aus- sichtslos. Damit ist das Gesuch abzuweisen. Das Obergericht erkennt: 1. Die Beschwerde wird abgewiesen, soweit darauf eingetreten wird. 2. Die obergerichtliche Entscheidgebühr von Fr. 120.00 wird dem Beklagten auferlegt. 3. Es werden keine Parteientschädigungen gesprochen. 4. Das Gesuch des Beklagten um Gewährung der unentgeltlichen Rechts- pflege wird abgewiesen.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110.00.</w:t>
      </w:r>
    </w:p>
    <w:p>
      <w:r>
        <w:t>- 12 -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20. März 2023 Obergericht des Kantons Aargau Zivilgericht, 3. Kammer Die Präsidentin: Der Gerichtsschreiber: Massari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