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ZSU.2023.146 vom 25. September 2023</w:t>
      </w:r>
    </w:p>
    <w:p>
      <w:r>
        <w:t>Ag Zivilgericht, 2023-09-25, DE</w:t>
      </w:r>
    </w:p>
    <w:p>
      <w:r>
        <w:rPr>
          <w:b/>
        </w:rPr>
        <w:t xml:space="preserve">Quelle: </w:t>
      </w:r>
      <w:r>
        <w:t>https://mcp.opencaselaw.ch/entscheid/ag_zivilgericht_ZSU.2023.146</w:t>
      </w:r>
    </w:p>
    <w:p>
      <w:r>
        <w:t>FR: AG_ZIVILGERICHT ZSU.2023.146 du 25 septembre 2023</w:t>
      </w:r>
    </w:p>
    <w:p>
      <w:r>
        <w:t>IT: AG_ZIVILGERICHT ZSU.2023.146 del 25 settembre 2023</w:t>
      </w:r>
    </w:p>
    <w:p>
      <w:pPr>
        <w:pStyle w:val="Heading2"/>
      </w:pPr>
      <w:r>
        <w:t>Erwägungen</w:t>
      </w:r>
    </w:p>
    <w:p>
      <w:r>
        <w:rPr>
          <w:b/>
        </w:rPr>
        <w:t>E. 1</w:t>
      </w:r>
    </w:p>
    <w:p>
      <w:r>
        <w:t>B._____ (nachfolgend: Kläger) reichte am 19. Mai 2023 beim Friedensrich- teramt Kreis VI (nachfolgend: Friedensrichteramt) ein Schlichtungsgesuch gegen A._____ (nachfolgend: Beschwerdeführer) ein und stellte diverse Begehren im Zusammenhang mit einer Forderung von Fr. 351'887.20 inkl.</w:t>
      </w:r>
    </w:p>
    <w:p>
      <w:r>
        <w:rPr>
          <w:b/>
        </w:rPr>
        <w:t>E. 5</w:t>
      </w:r>
    </w:p>
    <w:p>
      <w:r>
        <w:t>Zusammenfassend hat das Friedensrichteramt das unentschuldigte Fern- bleiben des Beschwerdeführers zu Unrecht mit einer Ordnungsbusse sank- tioniert. Die angefochtenen Verfügungen sind deshalb in Gutheissung der Beschwerden aufzuheben.</w:t>
      </w:r>
    </w:p>
    <w:p>
      <w:r>
        <w:rPr>
          <w:b/>
        </w:rPr>
        <w:t>E. 6</w:t>
      </w:r>
    </w:p>
    <w:p>
      <w:r>
        <w:t>Bei diesem Ausgang sind die Kosten des obergerichtlichen Verfahrens auf die Staatskasse zu nehmen (Art. 107 Abs. 2 ZPO). Im Beschwerdeverfah- ren betreffend die Ausfällung einer Ordnungsbusse gestützt auf Art. 128 ZPO ist die Schlichtungsbehörde als unterliegende Partei im Sinne von Art. 106 Abs. 1 ZPO zu behandeln. Dem Beschwerdeführer ist daher an- tragsgemäss eine Parteientschädigung zulasten der Kasse des Friedens- richteramtes Kreis VI (c/o Zentrales Rechnungswesen und Controlling der Gerichte Kanton Aargau) zuzusprechen (vgl. BGE 139 III 471 E. 3.3; BGE 140 III 501 E. 4; Entscheid des Obergerichts des Kantons Aargau ZSU.2020.212 vom 29. Oktober 2020 E. 5). Die von ihm geltend gemachte Parteientschädigung in Höhe von Fr. 1'972.40 inkl. MwSt wird einerseits nicht mittels Honorarnote belegt und erweist sich überdies als zu hoch. Die Grundentschädigung beträgt Fr. 1'259.60 (§ 3 Abs. 1 lit. a AnwT). Davon sind die tarifgemässen Abzüge von 20 % für die fehlende Verhandlung (§ 6 Abs. 2 AnwT) und von 50 % für geringe Aufwendungen (§ 7 Abs. 2 AnwT) abzuziehen, was zu einer Entschädigung von Fr. 503.84 führt. Hinzu kom- men die Auslagen von pauschal 3 % (§ 13 Abs. 1 AnwT) und die Mehrwert- steuer von 7.7 %, womit die Parteientschädigung auf gerundet Fr. 559.00 festzusetzen ist.</w:t>
      </w:r>
    </w:p>
    <w:p>
      <w:r>
        <w:t>- 9 - Das Obergericht beschliesst: Die Beschwerdeverfahren ZSU.2023.146 und ZSU.2023.161 werden ver- einigt. Das Obergericht erkennt: 1. In Gutheissung der Beschwerden werden die Ziffern 1 und 2 der Verfügun- gen des Friedensrichteramtes Kreis VI vom 26. Juni 2023 und 7. Juli 2023 aufgehoben. 2. Die Entscheidgebühr wird auf die Staatskasse genommen. 3. Die Kasse des Friedensrichteramtes Kreis VI (c/o Zentrales Rechnungswe- sen und Controlling der Gerichte Kanton Aargau) wird angewiesen, dem Beschwerdeführer für das Beschwerdeverfahren eine Entschädigung von Fr. 559.00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- 10 - sich die Partei als Beweismittel beruft, sind beizulegen, soweit die Partei sie in den Händen hat; ebenso ist der angefochtene Entscheid beizulegen (Art. 42 BGG). Der Streitwert des kantonalen Verfahrens beträgt Fr. 680.00.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25. September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