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ZSU.2022.270 vom 1. März 2023</w:t>
      </w:r>
    </w:p>
    <w:p>
      <w:r>
        <w:t>Ag Zivilgericht, 2023-03-01, DE</w:t>
      </w:r>
    </w:p>
    <w:p>
      <w:r>
        <w:rPr>
          <w:b/>
        </w:rPr>
        <w:t xml:space="preserve">Quelle: </w:t>
      </w:r>
      <w:r>
        <w:t>https://mcp.opencaselaw.ch/entscheid/ag_zivilgericht_ZSU.2022.270</w:t>
      </w:r>
    </w:p>
    <w:p>
      <w:r>
        <w:t>FR: AG_ZIVILGERICHT ZSU.2022.270 du 1 mars 2023</w:t>
      </w:r>
    </w:p>
    <w:p>
      <w:r>
        <w:t>IT: AG_ZIVILGERICHT ZSU.2022.270 del 1 marzo 2023</w:t>
      </w:r>
    </w:p>
    <w:p>
      <w:pPr>
        <w:pStyle w:val="Heading2"/>
      </w:pPr>
      <w:r>
        <w:t>Erwägungen</w:t>
      </w:r>
    </w:p>
    <w:p>
      <w:r>
        <w:rPr>
          <w:b/>
        </w:rPr>
        <w:t>E. 3</w:t>
      </w:r>
    </w:p>
    <w:p>
      <w:r>
        <w:t>Die zweitinstanzlichen Parteikosten sind von der Vorinstanz entsprechend dem Ausgang des Verfahrens vor Vorinstanz zu verlegen.</w:t>
      </w:r>
    </w:p>
    <w:p>
      <w:r>
        <w:rPr>
          <w:b/>
        </w:rPr>
        <w:t>E. 3.1</w:t>
      </w:r>
    </w:p>
    <w:p>
      <w:r>
        <w:t>In einem Rückweisungsentscheid kann die obere Instanz die Verteilung der Prozesskosten des Rechtsmittelverfahrens der Vorinstanz überlassen (Art. 104 Abs. 4 ZPO). Davon wird sie insbesondere dann absehen, wenn besondere Gründe vorliegen (JENNY, in: Sutter-Somm / Hasenböhler / Leuenberger, a.a.O., N. 11 zu Art. 107 ZPO). Dies betrifft primär Kosten, welche durch Verfahrensfehler unnötigerweise verursacht wurden (STAUBER, in: ZPO-Rechtsmittel Berufung und Beschwerde, Kommentar zu den Art. 308 bis 327a ZPO, Basel 2013, N. 40 zu Art. 318 ZPO). Das Gericht kann Gerichtskosten, die weder eine Partei noch Dritte veranlasst haben, aus Billigkeitsgründen dem Kanton auferlegen (Art. 107 Abs. 2 ZPO). Vorliegend wurde das Rechtsmittelverfahren dadurch verursacht, dass die Vorinstanz fälschlicherweise keine mündliche Verhandlung durchführte. Es rechtfertigt sich daher, auf die Erhebung von Verfahrenskosten zu verzichten. Eine Grundlage für die Verpflichtung des Kantons zur Bezahlung auch einer Parteientschädigung enthält die ZPO nicht (JENNY, a.a.O., N. 26 zu Art. 107 ZPO; STERCHI, in: Berner Kommentar, 2012, N. 25 zu Art. 107 ZPO). Die zweitinstanzlichen Parteikosten sind deshalb von der Vorinstanz entsprechend dem Ausgang des Verfahrens vor Vorinstanz zu verlegen.</w:t>
      </w:r>
    </w:p>
    <w:p>
      <w:r>
        <w:rPr>
          <w:b/>
        </w:rPr>
        <w:t>E. 3.2</w:t>
      </w:r>
    </w:p>
    <w:p>
      <w:r>
        <w:t>Der Beklagte hat im Berufungsverfahren ein Gesuch um unentgeltliche Rechtspflege mit Rechtsverbeiständung gestellt. Die Voraussetzungen gemäss Art. 117 f. ZPO sind erfüllt und das Gesuch ist zu bewilligen. Das Obergericht erkennt: 1. In Gutheissung der Berufung wird der Entscheid des Bezirksgerichts Aarau, Präsidium des Familiengerichts, vom 25. August 2022, aufgehoben, und die Streitsache zur Durchführung einer mündlichen Verhandlung und neuer Entscheidung im Sinne der Erwägungen an die Vorinstanz zu- rückgewiesen. 2. Es werden keine Verfahrenskosten erhoben.</w:t>
      </w:r>
    </w:p>
    <w:p>
      <w:r>
        <w:t>- 10 -</w:t>
      </w:r>
    </w:p>
    <w:p>
      <w:r>
        <w:rPr>
          <w:b/>
        </w:rPr>
        <w:t>E. 4</w:t>
      </w:r>
    </w:p>
    <w:p>
      <w:r>
        <w:t>Das Gesuch des Beklagten um unentgeltliche Rechtspflege für das obergerichtliche Verfahren wird gutgeheissen und lic.iur. Christoph Suter, Rechtsanwalt, Wohlen, zu seinem unentgeltlichen Rechtsvertreter bestellt.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w:t>
      </w:r>
    </w:p>
    <w:p>
      <w:r>
        <w:t>- 11 - Aarau, 1. März 2023 Obergericht des Kantons Aargau Zivilgericht, 5. Kammer Der Präsident: Die Gerichtsschreiberin: Brunner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