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ZSU.2022.212 vom 25. Oktober 2022</w:t>
      </w:r>
    </w:p>
    <w:p>
      <w:r>
        <w:t>Ag Zivilgericht, 2022-10-25, DE</w:t>
      </w:r>
    </w:p>
    <w:p>
      <w:r>
        <w:rPr>
          <w:b/>
        </w:rPr>
        <w:t xml:space="preserve">Quelle: </w:t>
      </w:r>
      <w:r>
        <w:t>https://mcp.opencaselaw.ch/entscheid/ag_zivilgericht_ZSU.2022.212</w:t>
      </w:r>
    </w:p>
    <w:p>
      <w:r>
        <w:t>FR: AG_ZIVILGERICHT ZSU.2022.212 du 25 octobre 2022</w:t>
      </w:r>
    </w:p>
    <w:p>
      <w:r>
        <w:t>IT: AG_ZIVILGERICHT ZSU.2022.212 del 25 ottobre 2022</w:t>
      </w:r>
    </w:p>
    <w:p>
      <w:pPr>
        <w:pStyle w:val="Heading2"/>
      </w:pPr>
      <w:r>
        <w:t>Erwägungen</w:t>
      </w:r>
    </w:p>
    <w:p>
      <w:r>
        <w:rPr>
          <w:b/>
        </w:rPr>
        <w:t>E. 1</w:t>
      </w:r>
    </w:p>
    <w:p>
      <w:r>
        <w:t>Mit Zahlungsbefehl Nr. [...] des Betreibungsamtes Q. vom 20. April 2022 betrieben die Kläger den Beklagten für den Betrag von Fr. 8'149.20 nebst Zins zu 5.1 % seit 21. April 2022 ("Kantons-, Gemeinde-, rkt. Kirchensteu- ern, Ausstand 2015, ordentliche Steuern"), für Fr. 1'350.20 ("Verzugszins bis 20.04.22") und Fr. 73.30 Betreibungskosten. Der Beklagte erhob Rechtsvorschlag.</w:t>
      </w:r>
    </w:p>
    <w:p>
      <w:r>
        <w:rPr>
          <w:b/>
        </w:rPr>
        <w:t>E. 2</w:t>
      </w:r>
    </w:p>
    <w:p>
      <w:r>
        <w:t>Die Gerichtsgebühr wird auf Fr. 300.00 festgesetzt und dem Gesuchsgegner auferlegt. Sie wird mit dem Vorschuss der Gesuchsteller von Fr. 300.00 verrechnet und der Gesuchsgegner verpflichtet, den Gesuchstellern den Betrag von Fr. 300.00 direkt zu ersetzen.</w:t>
      </w:r>
    </w:p>
    <w:p>
      <w:r>
        <w:rPr>
          <w:b/>
        </w:rPr>
        <w:t>E. 2.1</w:t>
      </w:r>
    </w:p>
    <w:p>
      <w:r>
        <w:t>Beruht die Forderung auf einem vollstreckbaren Entscheid eines schweize- rischen Gerichts oder einer schweizerischen Verwaltungsbehörde, so wird die definitive Rechtsöffnung erteilt, wenn nicht der Betriebene durch Urkun- den beweist, dass die Schuld seit Erlass des Entscheids getilgt oder ge- stundet worden ist, oder die Verjährung anruft (Art. 80 Abs. 1 und 2 i.V.m. Art. 81 Abs. 1 SchKG). Im Zusammenhang mit der Betreibung von Steuerschulden ist nicht unbe- dingt erforderlich, dass die Steuerveranlagungen (= Steuerverfügungen) ins Recht gelegt werden. Vielmehr reicht die Verurkundung eines Auszugs aus dem Steuerregister aus, in dem die ergangenen Verfügungen verzeich- net sind, dies weil das Register den genügenden Beweis dafür erbringt, dass eine rechtkräftige Veranlagung Grundlage der Forderung bildet (AGVE 1993 S. 69 f.; STAEHELIN, in: Basler Kommentar zum SchKG,</w:t>
      </w:r>
    </w:p>
    <w:p>
      <w:r>
        <w:rPr>
          <w:b/>
        </w:rPr>
        <w:t>E. 2.2</w:t>
      </w:r>
    </w:p>
    <w:p>
      <w:r>
        <w:t>Die Vorinstanz hat zur Begründung des die Rechtsöffnung für den Betrag von Fr. 8'149.20 gewährenden Entscheids ausgeführt, die in Betreibung gesetzte Forderung beruhe auf einer definitiven Steuerveranlagung vom 21. November 2018 für die Steuern des Jahres 2015. Sie verwies dabei auf</w:t>
      </w:r>
    </w:p>
    <w:p>
      <w:r>
        <w:t>- 4 - den von den Klägern eingereichten Steuerregisterauszug mit Vollstreckbar- keitsbescheinigung vom 21. Juni 2022. Gemäss § 227 StG i.V.m. Art. 80 Abs. 2 Ziff. 2 SchKG seien solche Steuerveranlagungen vollstreckbaren gerichtlichen Urteilen gleichgestellt. Der Beklagte bringe in seinen Stellung- nahmen vorwiegend seine allgemeine Unzufriedenheit vor und beanstande (zumindest indirekt) den in der Steuerveranlagung festgesetzten Steuerbe- trag bzw. den betriebenen Betrag. Eine inhaltliche Prüfung der Veranla- gungsverfügung vom 21. November 2018 könne im Rechtsöffnungsverfah- ren jedoch nicht vorgenommen werden. Urkundenbeweise, welche den Er- lass, die Tilgung oder die Stundung der Schuld belegen würden, habe der Beklagte nicht eingereicht, zumal die eingereichte Zahlungsquittung offen- sichtlich eine andere Betreibung bezüglich Steuerausstand für das Jahr 2018 betreffe. Auch vermöge der Beklagte mit seiner sinngemässen Anru- fung der Verjährung nicht durchzudringen, zumal Steuerforderungen ge- mäss § 178 [recte] StG erst fünf Jahre, nachdem die Veranlagung rechts- kräftig geworden sei, verjährten. Gemäss § 223a Abs. 3 StG werde auf geschuldeten und geforderten Steu- ern, die bis zum Verfalltag nicht bezahlt seien, ohne Mahnung ein Verzugs- zins berechnet. Der Verfalltag ergebe sich aus § 223 StG. Vorliegend lies- sen sich die Zustellungsdaten der fraglichen Steuerrechnungen und somit die genauen Verfalltage anhand der Zinsstaffeln und Kontoauszüge aus den Akten entnehmen. Der anzuwendende Zinssatz ergebe sich aus der Zinsverordnung (SAR 651.313) bzw. aus deren Anhang und sei korrekt an- gewendet worden. Es sei somit auch die definitive Rechtsöffnung für den aufgelaufenen Zins von Fr. 1'350.20 bis 20. April 2022 sowie Verzugszins zu 5.10 % auf Fr. 8'149.20 seit 21. April 2022 zu gewähren.</w:t>
      </w:r>
    </w:p>
    <w:p>
      <w:r>
        <w:rPr>
          <w:b/>
        </w:rPr>
        <w:t>E. 2.3</w:t>
      </w:r>
    </w:p>
    <w:p>
      <w:r>
        <w:t>Der Beklagte macht in der Beschwerde geltend, er werde jedes Jahr von der Gemeinde zu Unrecht immer höher eingestuft, weil seine Frau die Steu- ererklärungen ab dem Jahr 2015 nicht mehr abgegeben habe. Sie hätten Eheprobleme, und es sei ihm zeitlich unmöglich, sich auch noch um die Finanzen zu kümmern. Seine Frau habe sich auf dem Steueramt gemeldet, aber Frau B. habe kein Verständnis für die schwierige Situation gehabt. Die Gemeinde wolle ihn offensichtlich ruinieren und die Existenz kaputt ma- chen. Er sei nur ein kleiner Landwirt, habe ein kleines Einkommen und könne sich keinen Anwalt leisten. Die Gemeinde wolle ihn finanziell ruinie- ren, weil die Steuern vom Jahr 2015 nicht mehr abgegeben worden seien. Der Beklagte habe infolge einer Aufsichtspflichtverletzung im Zusammen- hang mit seinem im Jahr 2016 verstorbenen verbeiständeten Bruder viel Geld verloren, und er habe zu viel Erbschaftssteuer bezahlen müssen. Weil er keine Direktzahlungen mehr erhalte und nur eine kleine IV-Rente be- ziehe, werde das Einkommen massiv tiefer sein.</w:t>
      </w:r>
    </w:p>
    <w:p>
      <w:r>
        <w:t>- 5 -</w:t>
      </w:r>
    </w:p>
    <w:p>
      <w:r>
        <w:rPr>
          <w:b/>
        </w:rPr>
        <w:t>E. 2.4</w:t>
      </w:r>
    </w:p>
    <w:p>
      <w:r>
        <w:t>In seinen Vorbringen der Beschwerde setzt sich der Beklagte nicht mit den zutreffenden Ausführungen im angefochtenen Entscheid auseinander. Die Gründe für das Nichteinreichen der Steuerklärungen ab dem Jahr 2015 än- dern nichts daran, dass gestützt auf die rechtskräftige Steuerveranlagung 2015 definitive Rechtsöffnung zu erteilen ist. Der Rechtsöffnungsrichter hat nicht über den materiellen Bestand und die Richtigkeit der in einem defini- tiven Rechtsöffnungstitel ausgewiesenen Forderung zu befinden (BGE 135 III 315 Erw. 2.3). Ob der Beklagte tatsächlich nicht in der Lage ist, die ver- anlagten Steuern zu bezahlen, wäre allenfalls in einem Steuererlassverfah- ren zu prüfen (§ 230 ff. StG). Im Entscheid der Vorinstanz ist keine unrichtige Rechtsanwendung oder offensichtlich unrichtige Feststellung des Sachverhaltes zu erkennen. Die Beschwerde ist demnach abzuweisen.</w:t>
      </w:r>
    </w:p>
    <w:p>
      <w:r>
        <w:rPr>
          <w:b/>
        </w:rPr>
        <w:t>E. 3</w:t>
      </w:r>
    </w:p>
    <w:p>
      <w:r>
        <w:t>Wegen offensichtlicher Unbegründetheit der Beschwerde wurde von der Zustellung an die Kläger zur Erstattung einer Beschwerdeantwort abgese- hen (Art. 322 Abs. 1 ZPO).</w:t>
      </w:r>
    </w:p>
    <w:p>
      <w:r>
        <w:rPr>
          <w:b/>
        </w:rPr>
        <w:t>E. 4</w:t>
      </w:r>
    </w:p>
    <w:p>
      <w:r>
        <w:t>Ausgangsgemäss sind die auf Fr. 450.00 festzusetzenden Gerichtskosten (Art. 48 i.V.m. Art. 61 GebV SchKG) dem Beklagten aufzuerlegen (Art. 106 Abs. 1 ZPO i.V.m. Art. 95 Abs. 1 ZPO). Den Klägern ist im obergerichtlichen Verfahren kein Aufwand erwachsen, so dass ihnen keine Parteientschädi- gung zuzusprechen ist. Das Obergericht erkennt: 1. Die Beschwerde wird abgewiesen. 2. Die Spruchgebühr von Fr. 450.00 wird dem Beklagten auferlegt und in die- ser Höhe mit dem von diesem geleisteten Vorschuss verrechnet (Art. 111 Abs. 1 ZPO). 3. Es wird keine Parteientschädigung zugesprochen.</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8'149.20.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25. Oktober 2022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