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ZSU.2022.206 vom 9. Januar 2023</w:t>
      </w:r>
    </w:p>
    <w:p>
      <w:r>
        <w:t>Ag Zivilgericht, 2023-01-09, DE</w:t>
      </w:r>
    </w:p>
    <w:p>
      <w:r>
        <w:rPr>
          <w:b/>
        </w:rPr>
        <w:t xml:space="preserve">Quelle: </w:t>
      </w:r>
      <w:r>
        <w:t>https://mcp.opencaselaw.ch/entscheid/ag_zivilgericht_ZSU.2022.206</w:t>
      </w:r>
    </w:p>
    <w:p>
      <w:r>
        <w:t>FR: AG_ZIVILGERICHT ZSU.2022.206 du 9 janvier 2023</w:t>
      </w:r>
    </w:p>
    <w:p>
      <w:r>
        <w:t>IT: AG_ZIVILGERICHT ZSU.2022.206 del 9 gennaio 2023</w:t>
      </w:r>
    </w:p>
    <w:p>
      <w:pPr>
        <w:pStyle w:val="Heading2"/>
      </w:pPr>
      <w:r>
        <w:t>Erwägungen</w:t>
      </w:r>
    </w:p>
    <w:p>
      <w:r>
        <w:rPr>
          <w:b/>
        </w:rPr>
        <w:t>E. 1</w:t>
      </w:r>
    </w:p>
    <w:p>
      <w:r>
        <w:t>Mit Zahlungsbefehl Nr. [...] des Betreibungsamts Oftringen-Aarburg vom 7. April 2022 betrieb der Kläger die Beklagte für den Betrag von Fr. 2'300.00 und von Fr. 300.00 nebst Zins zu 5 % seit dem 1. Januar 2022 und von Fr. 18.30 nebst Zins zu 5 % seit dem 24. März 2022, zuzüglich Zahlungsbefehlskosten von Fr. 73.30. Als Forderungsgrund wurde im Zah- lungsbefehl angegeben: " 1. Treuhand- und Buchhaltungsdienstleistungen bis Dez. 2021</w:t>
      </w:r>
    </w:p>
    <w:p>
      <w:r>
        <w:rPr>
          <w:b/>
        </w:rPr>
        <w:t>E. 2</w:t>
      </w:r>
    </w:p>
    <w:p>
      <w:r>
        <w:t>Verzugsschaden</w:t>
      </w:r>
    </w:p>
    <w:p>
      <w:r>
        <w:rPr>
          <w:b/>
        </w:rPr>
        <w:t>E. 2.1</w:t>
      </w:r>
    </w:p>
    <w:p>
      <w:r>
        <w:t>Die Vorinstanz erwog, im Vertrag vom 31. August 2021 (GB 2) werde zwar ein Honorar von Fr. 120.00 pro Arbeitsstunde vereinbart. Die Schuldaner- kennung könne sich auch aus mehreren zusammengesetzten Urkunden ergeben, die in ihrer Gesamtheit den bedingungslosen Willen der Schuld- nerin zur Zahlung einer bestimmten oder leicht bestimmbaren Summe auf- zeigen. Die Vereinbarung über die Höhe des geschuldeten Honorars für einen Auftrag vermöge diesen Anforderungen aber für sich allein nicht zu genügen. Erforderlich wäre zumindest die Auflistung des konkreten Stun- denaufwands. Die vom Kläger eingereichten Dokumente gäben jedoch kei- nen Aufschluss über den bei ihm in Stunden angefallenen Aufwand. Dar- über hinaus lägen diverse Mahnungen des kantonalen Steueramts vor, wo- mit die Beklagte glaubhaft geltend mache, der Vertrag sei durch den Kläger nicht bzw. nicht ordnungsgemäss erfüllt worden. Die vom Kläger einge- reichten Unterlagen (grösstenteils Lohnabrechnungen und Entwürfe diver- ser Steuererklärungen) würden nicht zum vollen Beweis genügen, dass der Kläger seinen Auftrag mängelfrei und rechtzeitig ausgeführt habe, weil ne- ben dem Erstellen der Unterlagen auch das Einreichen der Steuererklärung vereinbart worden sei. Das Rechtsöffnungsgesuch sei demnach auch aus diesem Grund abzuweisen (angefochtener Entscheid E. 4).</w:t>
      </w:r>
    </w:p>
    <w:p>
      <w:r>
        <w:t>- 4 -</w:t>
      </w:r>
    </w:p>
    <w:p>
      <w:r>
        <w:rPr>
          <w:b/>
        </w:rPr>
        <w:t>E. 2.2</w:t>
      </w:r>
    </w:p>
    <w:p>
      <w:r>
        <w:t>Der Kläger macht hiergegen mit Beschwerde im Wesentlichen geltend, der Aufwand liesse sich anhand der Akten auf 9.5 Stunden für Lohnabrechnun- gen (= Fr. 1'140.00) und 1.9 Stunden für Buchungsbelege (= Fr. 228.00) schätzen. Weiter bestreitet der Kläger, dass gewisse Aufgaben nicht erle- digt worden seien. Der Kläger habe bei den Steuerämtern um entspre- chende Unterlagen gebeten. Diese und weitere Unterlagen würden dem Gericht noch zur Verfügung gestellt, sobald sie von den Steuerämtern er- hältlich gemacht worden seien.</w:t>
      </w:r>
    </w:p>
    <w:p>
      <w:r>
        <w:rPr>
          <w:b/>
        </w:rPr>
        <w:t>E. 2.3</w:t>
      </w:r>
    </w:p>
    <w:p>
      <w:r>
        <w:t>Die Parteien hielten mit Replik vom 7. August 2022 bzw. Duplik vom 12. August 2022 (Postaufgabe) an ihren Anträgen fest.</w:t>
      </w:r>
    </w:p>
    <w:p>
      <w:r>
        <w:rPr>
          <w:b/>
        </w:rPr>
        <w:t>E. 2.4</w:t>
      </w:r>
    </w:p>
    <w:p>
      <w:r>
        <w:t>Das Bezirksgericht Zofingen, Präsidium des Zivilgerichts, erkannte mit Ent- scheid vom 29. August 2022: " 1. Das Gesuch wird abgewiesen. 2. Die Entscheidgebühr von Fr. 250.00 wird dem Gesuchsteller auferlegt und mit seinem Kostenvorschuss in gleicher Höhe verrechnet.</w:t>
      </w:r>
    </w:p>
    <w:p>
      <w:r>
        <w:rPr>
          <w:b/>
        </w:rPr>
        <w:t>E. 3</w:t>
      </w:r>
    </w:p>
    <w:p>
      <w:r>
        <w:t>Aufl. 2021 [BSK SchKG I], N. 98 ff. zu Art. 82 SchKG). Die Schuldaner- kennung kann sich auch aus einer Gesamtheit von Urkunden ergeben, so- fern die notwendigen Elemente daraus hervorgehen. Dies bedeutet, dass die unterzeichnete Urkunde auf die Schriftstücke, welche die Schuld be- tragsmässig ausweisen, klar und unmittelbar Bezug nehmen bzw. verwei- sen muss. Eine Bezugnahme kann jedoch nur dann konkret sein, wenn der Inhalt der verwiesenen Dokumente dem Erklärenden bekannt und von der unterzeichneten Willensäusserung gedeckt ist. Blosses Stillschweigen zu Dokumenten der Gegenseite kann nicht zu einer Schuldanerkennung füh- ren, auch nicht im Sinn einer zusammengesetzten Urkunde (BGE 139 III 297 E. 2.3.1, 136 III 627 E. 2 und 3.3, 132 III 480 E. 4.3).</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öffentliche oder private Urkunde, aus welcher der unmiss- verständliche und bedingungslose Wille des Betriebenen hervorgeht, dem Betreibenden eine bestimmte oder leicht bestimmbare und fällige Geld- summe zu zahlen (Urteile des Bundesgerichts 5A_50/2017 vom 18. August 2017 E. 3.1, 5P.457/2001 vom 5. Februar 2002 E. 2a). Auch zweiseitige Verträge können grundsätzlich zur provisorischen Rechtsöffnung berechti- gen (BGE 145 III 20 E. 4.1.1; Urteil des Bundesgerichts 5A_367/2007 vom 15. Oktober 2007 E. 3.1; STAEHELIN, in: Staehelin/Bauer/Lorandi [Hrsg.], Basler Kommentar, Bundesgesetz über Schuldbetreibung und Konkurs I,</w:t>
      </w:r>
    </w:p>
    <w:p>
      <w:r>
        <w:rPr>
          <w:b/>
        </w:rPr>
        <w:t>E. 3.2</w:t>
      </w:r>
    </w:p>
    <w:p>
      <w:r>
        <w:t>Der Kläger legte mit seinem Gesuch den Vertrag vom 31. August 2021 (GB 2) als Rechtsöffnungstitel ins Recht, in dem ihn die Beklagte mit dem Füh- ren der Buchhaltung, Beratung und Ausführung von Steuer-, Finanz- und Versicherungsangelegenheiten beauftragte. Im Vertrag wurde vereinbart, dass der Kläger ein "Honorar pro Arbeitsstunde" erhält, und dass der Stun- denansatz "zurzeit" Fr. 120.00 beträgt. Wie die Vorinstanz grundsätzlich</w:t>
      </w:r>
    </w:p>
    <w:p>
      <w:r>
        <w:t>- 5 - zutreffend erkannte, reicht dies nicht, um die Vereinbarung als provisori- schen Rechtsöffnungstitel für das Honorar zu qualifizieren. Das Honorar ist vielmehr vom konkreten Stundenaufwand abhängig und lässt sich allein anhand des Vertrages nicht bestimmen. Die Vereinbarung stellt hinsichtlich des Honorars mithin keine Schuldanerkennung i.S.v. Art. 82 Abs. 1 SchKG dar. Für den "Verzugsschaden" in Höhe von Fr. 500.00 findet sich im Ver- trag vom 31. August 2021 erst Recht keine Schuldanerkennung. Soweit die Vorinstanz weiter zu erwägen scheint, dass die Vereinbarung in Verbindung mit einer Auflistung des konkreten Aufwands in Stunden zwecks Nachvollziehung des eingeforderten Honorars zur provisorischen Rechtsöffnung berechtigen würde, so ist ihr – jedenfalls, soweit eine derar- tige Auflistung ohne ausdrücklichen Bezug auf die Zahlungspflicht gemäss Vertrag vom 31. August 2021 und ohne Unterschrift der Beklagten vorge- legt würde – nicht zu folgen. Der Vertrag vom 31. August 2021 kann nicht durch blosse, nachträglich vom Kläger erstellte Stundenabrechnung er- gänzt werden; ein Verweis auf weitere Dokumente wäre in der unterzeich- neten Urkunde (vorliegend im Vertrag vom 31. August 2021) vorzunehmen gewesen, und ein solcher wäre auch nur dann möglich gewesen, wenn der Inhalt der verwiesenen Dokumente dem Erklärenden (d.h. der Beklagten) bekannt gewesen wäre. Dies ist vorliegend ausgeschlossen, da eine allfäl- lige Abrechnung offenkundig erst nach Vertragsabschluss hätte erstellt werden können, mithin nicht im beschriebenen Sinne darauf hätte verwie- sen werden können. Es wäre mit dem Begriff der "durch Unterschrift be- kräftigten Schuldanerkennung" unvereinbar, wenn es die Gläubigerin in der Hand hätte, mit von ihr einseitig ausgestellten Parteibehauptungen den In- halt einer so "zusammengesetzten Urkunde" und damit den Rechtsöff- nungstitel frei zu gestalten (BGE 132 III 480 E. 4.3). Folglich ist nicht von Belang, ob sich der angefallene (bzw. geschätzte) Stundenaufwand des Klägers und damit die Honorarforderung nachträglich plausibilisieren lässt, sodass auf die diesbezüglichen Vorbringen im Be- schwerdeverfahren nicht eingegangen werden muss. Ebenso kann offen- bleiben, ob seitens der Beklagten glaubhafte Einwendungen gegen die ge- forderte Vergütung gemacht wurden. Im Übrigen ist darauf hinzuweisen, dass neue Behauptungen und Tatsachen im Beschwerdeverfahren ausge- schlossen sind (Art. 326 Abs. 1 ZPO), auf solche folglich ohnehin nicht hätte eingegangen werden können.</w:t>
      </w:r>
    </w:p>
    <w:p>
      <w:r>
        <w:rPr>
          <w:b/>
        </w:rPr>
        <w:t>E. 4</w:t>
      </w:r>
    </w:p>
    <w:p>
      <w:r>
        <w:t>Mangels Rechtsöffnungstitel wurde demnach zu Recht keine provisorische Rechtsöffnung erteilt und ist die Beschwerde abzuweisen.</w:t>
      </w:r>
    </w:p>
    <w:p>
      <w:r>
        <w:t>- 6 -</w:t>
      </w:r>
    </w:p>
    <w:p>
      <w:r>
        <w:rPr>
          <w:b/>
        </w:rPr>
        <w:t>E. 5</w:t>
      </w:r>
    </w:p>
    <w:p>
      <w:r>
        <w:t>Ausgangsgemäss wird der Kläger kostenpflichtig (Art. 106 Abs. 1 ZPO). Die Spruchgebühr für das Beschwerdeverfahren wird auf Fr. 375.00 fest- gesetzt (Art. 48 i.V.m. Art. 61 GebV SchKG) und mit dem vom Kläger in gleicher Höhe geleisteten Kostenvorschuss verrechnet (Art. 111 Abs. 1 ZPO). Die Beklagte beantragte keine Parteientschädigung und Gründe für die ausnahmsweise Zusprechung einer Umtriebsentschädigung i.S.v. Art. 95 Abs. 3 lit. c ZPO wären ohnehin nicht ersichtlich. Das Obergericht erkennt: 1. Die Beschwerde wird abgewiesen. 2. Die obergerichtliche Entscheidgebühr von Fr. 375.00 wird dem Kläger auf- erlegt und mit seinem Kostenvorschuss in gleicher Höhe verrechnet. 3. Es werden keine Parteikosten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Der Streitwert des kantonalen Verfahrens beträgt Fr. 2'800.00.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9. Januar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