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ZSU.2022.161 vom 21. September 2022</w:t>
      </w:r>
    </w:p>
    <w:p>
      <w:r>
        <w:t>Ag Zivilgericht, 2022-09-21, DE</w:t>
      </w:r>
    </w:p>
    <w:p>
      <w:r>
        <w:rPr>
          <w:b/>
        </w:rPr>
        <w:t xml:space="preserve">Quelle: </w:t>
      </w:r>
      <w:r>
        <w:t>https://mcp.opencaselaw.ch/entscheid/ag_zivilgericht_ZSU.2022.161</w:t>
      </w:r>
    </w:p>
    <w:p>
      <w:r>
        <w:t>FR: AG_ZIVILGERICHT ZSU.2022.161 du 21 septembre 2022</w:t>
      </w:r>
    </w:p>
    <w:p>
      <w:r>
        <w:t>IT: AG_ZIVILGERICHT ZSU.2022.161 del 21 settembre 2022</w:t>
      </w:r>
    </w:p>
    <w:p>
      <w:pPr>
        <w:pStyle w:val="Heading2"/>
      </w:pPr>
      <w:r>
        <w:t>Erwägungen</w:t>
      </w:r>
    </w:p>
    <w:p>
      <w:r>
        <w:rPr>
          <w:b/>
        </w:rPr>
        <w:t>E. 1.1</w:t>
      </w:r>
    </w:p>
    <w:p>
      <w:r>
        <w:t>Entscheide betreffend die Aufhebung oder Einstellung der Betreibung ge- mäss Art. 85 SchKG sind mit Beschwerde anfechtbar (Art. 319 lit. a i.V.m. Art. 309 lit. b Ziff. 4 ZPO). Mit Beschwerde angefochten werden kann nur der begründete, nicht aber der erst im Dispositiv zugestellte Entscheid (Art. 321 Abs. 1 i.V.m. Art. 239 Abs. 2 ZPO; DANIEL STAEHELIN, in: THOMAS SUTTER-SOMM/FRANZ HASEN- BÖHLER/CHRISTOPH LEUENBERGER [Hrsg.], Kommentar zur Schweizeri- schen Zivilprozessordnung, 3. Aufl. 2016, N. 31 zu Art. 239 ZPO). Da der</w:t>
      </w:r>
    </w:p>
    <w:p>
      <w:r>
        <w:t>- 4 - vorinstanzliche Entscheid vom 6. Juli 2022 dem Beklagten erst im Disposi- tiv zugestellt wurde, ist auf die vorliegende Beschwerde folglich nicht ein- zutreten. An diesem Ergebnis ändert nichts, dass auf dem vorinstanzlichen Ent- scheiddispositiv unzutreffenderweise die Rechtsmittelbelehrung für die Be- schwerde nach Art. 319 ff. ZPO anstatt des Hinweises, dass die Parteien innert zehn Tagen seit der Eröffnung des Entscheids eine schriftliche Be- gründung verlangen können (Art. 239 Abs. 2 ZPO), angebracht war. Einer Partei darf zwar aus einer fehlerhaften Rechtsmittelbelehrung kein Nachteil erwachsen; keinesfalls vermag aber eine falsche Rechtsmittelbelehrung ein im betreffenden Fall nicht gegebenes Rechtsmittel zu schaffen (BGE 117 II 508 E. 2; STAEHELIN, a.a.O., N. 27 zu Art. 238 ZPO).</w:t>
      </w:r>
    </w:p>
    <w:p>
      <w:r>
        <w:rPr>
          <w:b/>
        </w:rPr>
        <w:t>E. 1.2</w:t>
      </w:r>
    </w:p>
    <w:p>
      <w:r>
        <w:t>Die Beschwerde ist daher als Antrag auf Zustellung des begründeten Ent- scheids an die Vorinstanz weiterzuleiten (Art. 239 Abs. 2 ZPO; BGE 140 III 636 analog) und der Beklagte wird darauf hingewiesen, dass er die Be- schwerde noch nicht rechtsgültig eingereicht hat (Art. 52 und 56 ZPO; vgl. STAEHELIN, a.a.O., N. 31 zu Art. 239 ZPO). Dem Beklagten erwächst aus dem Nichteintreten auf die vorliegende Beschwerde mithin kein Nachteil. 2. Bei diesem Ausgang des Verfahrens ist keine Entscheidgebühr zu erheben (Art. 96 ZPO i.V.m. § 13 Abs. 1 VKD) und es sind keine Parteientschädi- gungen zuzusprechen. Das Obergericht erkennt: 1. Auf die Beschwerde wird nicht eingetreten. 2. Die Eingabe des Beklagten vom 23. Juli 2022 wird als Antrag auf Zustel- lung des begründeten Entscheids an die Vorinstanz weitergeleitet. 3. Es wird keine Entscheidgebühr erhoben.</w:t>
      </w:r>
    </w:p>
    <w:p>
      <w:r>
        <w:rPr>
          <w:b/>
        </w:rPr>
        <w:t>E. 1.3</w:t>
      </w:r>
    </w:p>
    <w:p>
      <w:r>
        <w:t>Am 22. April 2022 schlossen die D. GmbH und der Beklagte einerseits so- wie der Kläger andererseits eine Vergleichsvereinbarung ab, in welcher sich der Beklagte verpflichtete, innert fünf Tagen nach Erhalt des bis am 28. April 2022 vom Kläger zu bezahlenden Vergleichsbetrags die Betrei- bung Nr. xxx beim Betreibungsamt Q. zurückzuziehen und dem Betrei- bungsamt die Löschung dieser Betreibung sowie die Einstellung der Pfän- dung zu beantragen.</w:t>
      </w:r>
    </w:p>
    <w:p>
      <w:r>
        <w:rPr>
          <w:b/>
        </w:rPr>
        <w:t>E. 2</w:t>
      </w:r>
    </w:p>
    <w:p>
      <w:r>
        <w:t>Die Begehren des Gesuchsgegners werden abgewiesen, soweit darauf einzutreten ist.</w:t>
      </w:r>
    </w:p>
    <w:p>
      <w:r>
        <w:rPr>
          <w:b/>
        </w:rPr>
        <w:t>E. 2.1</w:t>
      </w:r>
    </w:p>
    <w:p>
      <w:r>
        <w:t>Mit Eingabe vom 5. Mai 2022 stellte der Kläger beim Bezirksgericht Muri folgende Anträge: " 1. Es sei die Betreibung Nr. xxx des Betreibungsamtes Q. über die Forde- rungsbeträge von CHF 127'676.65 zzgl. 5 % Zins seit dem 13. November 2020 und CHF 485.00 aufzuheben und im Betreibungsregister zu löschen;</w:t>
      </w:r>
    </w:p>
    <w:p>
      <w:r>
        <w:rPr>
          <w:b/>
        </w:rPr>
        <w:t>E. 2.2</w:t>
      </w:r>
    </w:p>
    <w:p>
      <w:r>
        <w:t>Der Beklagte nahm mit Eingabe vom 10. Juni 2022 zum Begehren des Klä- gers Stellung.</w:t>
      </w:r>
    </w:p>
    <w:p>
      <w:r>
        <w:t>- 3 -</w:t>
      </w:r>
    </w:p>
    <w:p>
      <w:r>
        <w:rPr>
          <w:b/>
        </w:rPr>
        <w:t>E. 2.3</w:t>
      </w:r>
    </w:p>
    <w:p>
      <w:r>
        <w:t>Die Präsidentin des Bezirksgerichts Muri entschied am 6. Juli 2022: " 1. In Gutheissung des Gesuchs vom 5. Mai 2022 wird die Betreibung Nr. xxx des Betreibungsamtes Q. aufgehoben und Dritten wird von der betreffen- den Betreibung keine Kenntnis mehr gegeben.</w:t>
      </w:r>
    </w:p>
    <w:p>
      <w:r>
        <w:rPr>
          <w:b/>
        </w:rPr>
        <w:t>E. 3</w:t>
      </w:r>
    </w:p>
    <w:p>
      <w:r>
        <w:t>Der Gesuchsgegner wird verpflichtet, dem Gesuchsteller eine Parteient- schädigung von Fr. 1'925.00 (inkl. Auslagen pauschal von Fr. 30.00 sowie 7,7 % MWST von Fr. 137.60) zu bezahlen.</w:t>
      </w:r>
    </w:p>
    <w:p>
      <w:r>
        <w:rPr>
          <w:b/>
        </w:rPr>
        <w:t>E. 3.1</w:t>
      </w:r>
    </w:p>
    <w:p>
      <w:r>
        <w:t>Gegen diesen ihm nach eigenen Angaben am 14. Juli 2022 im Dispositiv zugestellten Entscheid erhob der Beklagte mit Eingabe vom 21. Juli 2022 (Postaufgabe am 23. Juli 2022) beim Obergericht des Kantons Aargau Be- schwerde.</w:t>
      </w:r>
    </w:p>
    <w:p>
      <w:r>
        <w:rPr>
          <w:b/>
        </w:rPr>
        <w:t>E. 3.2</w:t>
      </w:r>
    </w:p>
    <w:p>
      <w:r>
        <w:t>Auf die Zustellung der Beschwerde an den Kläger zur Erstattung einer Be- schwerdeantwort wurde verzichtet. Das Obergericht zieht in Erwägung: 1.</w:t>
      </w:r>
    </w:p>
    <w:p>
      <w:r>
        <w:rPr>
          <w:b/>
        </w:rPr>
        <w:t>E. 4</w:t>
      </w:r>
    </w:p>
    <w:p>
      <w:r>
        <w:t>Es werden keine Parteientschädigungen zugesprochen.</w:t>
      </w:r>
    </w:p>
    <w:p>
      <w:r>
        <w:t>- 5 - Zustellung an: den Kläger (Vertreter) den Beklagten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127'676.65. Aarau, 21. September 2022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