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ZSU.2022.100 vom 4. Juli 2022</w:t>
      </w:r>
    </w:p>
    <w:p>
      <w:r>
        <w:t>Ag Zivilgericht, 2022-07-04, DE</w:t>
      </w:r>
    </w:p>
    <w:p>
      <w:r>
        <w:rPr>
          <w:b/>
        </w:rPr>
        <w:t xml:space="preserve">Quelle: </w:t>
      </w:r>
      <w:r>
        <w:t>https://mcp.opencaselaw.ch/entscheid/ag_zivilgericht_ZSU.2022.100</w:t>
      </w:r>
    </w:p>
    <w:p>
      <w:r>
        <w:t>FR: AG_ZIVILGERICHT ZSU.2022.100 du 4 juillet 2022</w:t>
      </w:r>
    </w:p>
    <w:p>
      <w:r>
        <w:t>IT: AG_ZIVILGERICHT ZSU.2022.100 del 4 luglio 2022</w:t>
      </w:r>
    </w:p>
    <w:p>
      <w:pPr>
        <w:pStyle w:val="Heading2"/>
      </w:pPr>
      <w:r>
        <w:t>Erwägungen</w:t>
      </w:r>
    </w:p>
    <w:p>
      <w:r>
        <w:rPr>
          <w:b/>
        </w:rPr>
        <w:t>E. 1</w:t>
      </w:r>
    </w:p>
    <w:p>
      <w:r>
        <w:t>Mit Zahlungsbefehl Nr. […] des Betreibungsamts D. vom 12. Januar 2022 betrieb der Kläger die Beklagte für den Betrag von Fr. 8'960.00 nebst 5 % Zins seit 31. Oktober 2021 (Angabe des Forderungsgrundes: "Mietvertrag […]; ausstehende Monatsmieten Juli 2021 bis Januar 2022") zuzüglich Zahlungsbefehlskosten von Fr. 73.30. Die Beklagte erhob Rechtsvorschlag.</w:t>
      </w:r>
    </w:p>
    <w:p>
      <w:r>
        <w:rPr>
          <w:b/>
        </w:rPr>
        <w:t>E. 1.1</w:t>
      </w:r>
    </w:p>
    <w:p>
      <w:r>
        <w:t>Rechtsöffnungsentscheide sind mit Beschwerde anfechtbar (Art. 319 lit. a i.V.m. Art. 309 lit. b Ziff. 3 ZPO). Mit der Beschwerde können die unrichtige Rechtsanwendung und die offensichtlich unrichtige Feststellung des Sach- verhalts geltend gemacht werden (Art. 320 ZPO). Neue Anträge, neue Tat- sachenbehauptungen und neue Beweismittel sind im Beschwerdeverfah- ren ausgeschlossen (vgl. Art. 326 Abs. 1 ZPO). Das Obergericht kann ohne Verhandlung aufgrund der Akten entscheiden (Art. 327 Abs. 2 ZPO).</w:t>
      </w:r>
    </w:p>
    <w:p>
      <w:r>
        <w:rPr>
          <w:b/>
        </w:rPr>
        <w:t>E. 1.2</w:t>
      </w:r>
    </w:p>
    <w:p>
      <w:r>
        <w:t>Ob ein gültiger Rechtsöffnungstitel vorliegt, prüft das Gericht von Amtes wegen. Die Beschwerdeinstanz ist nicht gehalten, den angefochtenen Ent- scheid losgelöst von konkreten Anhaltspunkten in der Beschwerdebegrün- dung von sich aus in jede Richtung hin auf mögliche Mängel zu untersu- chen. Abgesehen von offensichtlichen Mängeln beschränkt sie sich viel- mehr darauf, diejenigen Beanstandungen zu beurteilen, welche die Par- teien in ihren schriftlichen Begründungen erheben. Demnach geben die Be- anstandungen der Parteien das Prüfprogramm der Rechtsmittelinstanz vor. Die Beschwerdeinstanz darf daher den provisorischen Rechtsöffnungstitel nicht losgelöst von entsprechenden Vorbringen des Schuldners von Amtes wegen abermals umfassend prüfen. Demgegenüber kann die Beschwer-</w:t>
      </w:r>
    </w:p>
    <w:p>
      <w:r>
        <w:t>- 4 - deinstanz die Beschwerde auch mit einer anderen Argumentation gutheis- sen oder diese auch mit einer von der Argumentation der ersten Instanz abweichenden Begründung abweisen (BGE 147 III 176 E. 4.2.1 analog). 2.</w:t>
      </w:r>
    </w:p>
    <w:p>
      <w:r>
        <w:rPr>
          <w:b/>
        </w:rPr>
        <w:t>E. 2</w:t>
      </w:r>
    </w:p>
    <w:p>
      <w:r>
        <w:t>Der Rechtsvorschlag in der Betreibung Nr. […] des Betreibungsamtes D. (Zahlungsbefehl vom 12. Januar 2022) sei zu schützen und dem Beschwerdegegner sei die provisorische Rechtsöffnung zu verweigern.</w:t>
      </w:r>
    </w:p>
    <w:p>
      <w:r>
        <w:t>- 3 -</w:t>
      </w:r>
    </w:p>
    <w:p>
      <w:r>
        <w:rPr>
          <w:b/>
        </w:rPr>
        <w:t>E. 2.1</w:t>
      </w:r>
    </w:p>
    <w:p>
      <w:r>
        <w:t>Beruht die Forderung auf einer durch öffentliche Urkunde festgestellten oder durch Unterschrift bekräftigten Schuldanerkennung, so kann der Gläu- biger die provisorische Rechtsöffnung verlangen (Art. 82 Abs. 1 SchKG). Der Richter spricht dieselbe aus, sofern der Betriebene nicht Einwendun- gen, welche die Schuldanerkennung entkräften, sofort glaubhaft macht (Art. 82 Abs. 2 SchKG).</w:t>
      </w:r>
    </w:p>
    <w:p>
      <w:r>
        <w:rPr>
          <w:b/>
        </w:rPr>
        <w:t>E. 2.2</w:t>
      </w:r>
    </w:p>
    <w:p>
      <w:r>
        <w:t>Der vom Mieter unterschriebene Mietvertrag berechtigt zur provisorischen Rechtsöffnung für die darin festgelegten fälligen Mietzinse. Der Mietvertrag enthält eine Schuldanerkennung für die Mietzinse nur bis zum Vertragsab- lauf. Bei einem unbefristeten Vertrag hat der Mieter die gehörige Beendi- gung als Einwendung glaubhaft zu machen (STAEHELIN, in: Basler Kom- mentar, 3. Aufl. 2021, N. 114 und 116 zu Art. 82 SchKG mit Hinweisen).</w:t>
      </w:r>
    </w:p>
    <w:p>
      <w:r>
        <w:rPr>
          <w:b/>
        </w:rPr>
        <w:t>E. 2.3</w:t>
      </w:r>
    </w:p>
    <w:p>
      <w:r>
        <w:t>Vorliegend haben die Parteien am 20. Juli 2018 einen unbefristeten Miet- vertrag für X ab 1. September 2018 (mit einer 6-monatigen Kündigungsfrist) abgeschlossen und diesen Vertrag im August 2020 mit einer Zusatzvereinbarung angepasst (Klagebeilagen 1 und 2). Die Vorinstanz hat gestützt darauf die provisorische Rechtsöffnung erteilt.</w:t>
      </w:r>
    </w:p>
    <w:p>
      <w:r>
        <w:rPr>
          <w:b/>
        </w:rPr>
        <w:t>E. 2.4</w:t>
      </w:r>
    </w:p>
    <w:p>
      <w:r>
        <w:t>Die Beklagte hat im vorinstanzlichen Verfahren geltend gemacht und stellt sich auch im Beschwerdeverfahren auf den Standpunkt, der fragliche Miet- vertrag sei von ihr gestützt auf Art. 259b OR aus wichtigen Gründen aus- serterminlich gültig gekündigt worden (Klageantwort N. 4 ff., act 18 ff., Be- schwerde N. 13 und 15 ff.) und verweist auf ihr Schreiben an den Kläger vom 28. Juni 2021, mit welchem sie die Kündigung per 31. Juli 2021 er- klärte (Klagebeilage 4), sowie ihr vorangehendes Schreiben an den Beklag- ten vom 17. Februar 2021 (Klagebeilage 5), mit welchem sie sich über Män- gel an der Heizung sowie Lärm- und Geruchsimmissionen einer angren- zenden Autogarage beschwerte.</w:t>
      </w:r>
    </w:p>
    <w:p>
      <w:r>
        <w:rPr>
          <w:b/>
        </w:rPr>
        <w:t>E. 2.5</w:t>
      </w:r>
    </w:p>
    <w:p>
      <w:r>
        <w:t>Art. 259b lit. a OR sieht die fristlose Kündigung durch den Vermieter unter bestimmten Voraussetzungen vor, zu denen insbesondere das Vorliegen eines Mangels an der Mietsache (in einer bestimmten Ausprägung) und die fehlende Beseitigung dieses Mangels innert angemessener Frist gehört. Erfüllt die Kündigung die Voraussetzungen von Art. 259b lit. a OR nicht, so</w:t>
      </w:r>
    </w:p>
    <w:p>
      <w:r>
        <w:t>- 5 - ist sie auch bei der Miete von Wohn- und Geschäftsräumen nichtig und nicht nur anfechtbar. Die Beweislast für die Voraussetzungen trägt wie bei allen ausserordentlichen Kündigungen die kündigende Partei, hier also der Mieter (WEBER, in: Basler Kommentar, 7. Aufl. 2020, N. 9 zu Art. 259b OR). Im Rahmen eines provisorischen Rechtsöffnungsverfahrens bezüglich Mietzinsen hat der Mieter, der wie hier das Dahinfallen des Mietvertrags infolge einer ausserordentlichen Kündigung geltend macht, die Gültigkeit der Kündigung im Bestreitungsfalle glaubhaft zu machen (vgl. oben E. 2.2).</w:t>
      </w:r>
    </w:p>
    <w:p>
      <w:r>
        <w:rPr>
          <w:b/>
        </w:rPr>
        <w:t>E. 2.6</w:t>
      </w:r>
    </w:p>
    <w:p>
      <w:r>
        <w:t>Der Kläger brachte mit seinem Rechtsöffnungsgesuch vor, die ausseror- dentliche Kündigung der Beklagten sei unwirksam gewesen (Rechtsöff- nungsgesuch N. 14 ff., act. 5 ff.). Mit ihrer Stellungnahme vor Vorinstanz behauptete die Beklagte zwar eine ausserordentliche Kündigung, aller- dings brachte sie für das Vorliegen von Mängeln (ausser ihren eigenen Schreiben an den Beklagten) keinen einzigen Beleg vor. Die Vorinstanz hat daher (mit ausführlicher Begründung, vgl. E. 3.4. des angefochtenen Ent- scheids) zu Recht sinngemäss geschlossen, dass die Beklagte keine gül- tige ausserordentliche Kündigung glaubhaft gemacht hat und somit der Mietvertrag einen gültigen Rechtsöffnungstitel darstellt. 3. Während die Beklagte ihren Standpunkt im erstinstanzlichen Verfahren im Wesentlichen nur auf den Wegfall des Mietvertrags infolge ausserordentli- cher Kündigung stützte (Stellungnahme N. 4 ff., act. 18 ff.), bringt sie mit der Beschwerde neu vor, der Kläger habe (infolge der von ihr behaupteten Mängel) die vertraglich geschuldete Gegenleistung nicht erbracht (Be- schwerde N. 9 f.) und sie habe den Mietvertrag nicht vorbehaltlos unter- zeichnet (Beschwerde N. 10). Diese Vorbringen sind verspätet und können im Beschwerdeverfahren nicht mehr berücksichtigt werden (vgl. oben E. 1.1.). Doch selbst ihre Berücksichtigung würde am Ergebnis nichts än- dern: Die behaupteten Mängel wären von der Beklagten zu substantiieren gewesen (vgl. STAEHELIN, a.a.O., N. 118 und 105 zu Art. 82 SchKG), was sie nicht getan hat (vgl. die Ausführungen in E. 3.4. des vorinstanzlichen Urteils). Betreffend die angeblich nicht vorbehaltlose Unterzeichnung des Mietvertrags verweist die Beklagte auf ihre Schreiben an den Kläger vom 17. Februar 2021 und 28. Juni 2021 (vgl. oben E. 2.4). Diese Schreiben erfolgten allerdings nach Vertragsabschluss (vgl. oben E. 2.3.), weshalb sie keinen vertraglichen Vorbehalt (im Sinne einer auflösenden Bedingung nach Art. 154 OR) beinhalten können. 4.</w:t>
      </w:r>
    </w:p>
    <w:p>
      <w:r>
        <w:rPr>
          <w:b/>
        </w:rPr>
        <w:t>E. 3</w:t>
      </w:r>
    </w:p>
    <w:p>
      <w:r>
        <w:t>Eventualiter sei die Sache zur Sachverhaltsergänzung und Neubeurteilung im Sinne der nachstehenden Begründung an die Vorinstanz zurückzuwei- sen.</w:t>
      </w:r>
    </w:p>
    <w:p>
      <w:r>
        <w:rPr>
          <w:b/>
        </w:rPr>
        <w:t>E. 4</w:t>
      </w:r>
    </w:p>
    <w:p>
      <w:r>
        <w:t>Der Beschwerde sei aufschiebende Wirkung zu gewähren.</w:t>
      </w:r>
    </w:p>
    <w:p>
      <w:r>
        <w:rPr>
          <w:b/>
        </w:rPr>
        <w:t>E. 4.1</w:t>
      </w:r>
    </w:p>
    <w:p>
      <w:r>
        <w:t>Die Beklagte rügt weiter an verschiedenen Stellen ihrer Beschwerde eine Verletzung der richterlichen Fragepflicht nach Art. 56 ZPO (Beschwerde N. 12, 14, 18 f.). Falls der Schuldner nicht anwaltlich vertreten sei, sei eine</w:t>
      </w:r>
    </w:p>
    <w:p>
      <w:r>
        <w:t>- 6 - mündliche Verhandlung unerlässlich. Allein auf diese Weise könne das Ge- richt in ausreichender Weise die richterliche Fragepflicht nach Art. 56 ZPO ausüben (Beschwerde N. 14).</w:t>
      </w:r>
    </w:p>
    <w:p>
      <w:r>
        <w:rPr>
          <w:b/>
        </w:rPr>
        <w:t>E. 4.2</w:t>
      </w:r>
    </w:p>
    <w:p>
      <w:r>
        <w:t>Auf Grund von Art. 256 Abs. 1 ZPO kann das Gericht im summarischen Verfahren auf die Ansetzung einer mündlichen Verhandlung verzichten. Auch aus Art. 84 Abs. 2 SchKG und Art. 54 ZPO ergibt sich kein Anspruch auf eine mündliche Verhandlung (STAEHELIN, a.a.O., N. 41b zu Art. 84 SchKG). Gemäss dem Urteil des Bundesgerichts 5A_394/2019 (E. 2.2.) gilt dies auch für Art. 6 Ziff. 1 EMRK, während STAEHELIN der Auffassung ist, dass die provisorische Rechtsöffnung vom Anwendungsbereich dieser die- ser Bestimmung nicht ausgenommen ist (STAEHELIN, a.a.O., N. 41b zu Art. 84 SchKG). Die Parteien können jedoch jedenfalls auf eine öffentliche mündliche Verhandlung verzichten, wobei ein Verzicht insbesondere ange- nommen wird, wenn kein Antrag auf Durchführung einer öffentlichen Ver- handlung gestellt wird und das Gericht in der Regel nicht öffentlich verhan- delt (STAEHELIN, a.a.O., N. 41b zu Art. 84 SchKG mit Hinweisen). Die Be- klagte hat in ihrer schriftlichen Stellungnahme an die Vorinstanz nicht die Durchführung einer mündlichen Verhandlung beantragt und Rechtsöff- nungsverfahren werden praxisgemäss meist schriftlich durchgeführt. Dass die Vorinstanz keine Verhandlung durchgeführt hat, ist damit nicht zu be- anstanden.</w:t>
      </w:r>
    </w:p>
    <w:p>
      <w:r>
        <w:rPr>
          <w:b/>
        </w:rPr>
        <w:t>E. 4.3</w:t>
      </w:r>
    </w:p>
    <w:p>
      <w:r>
        <w:t>Gemäss Art. 56 ZPO gibt das Gericht einer Partei, deren Vorbringen unklar, widersprüchlich, unbestimmt oder offensichtlich unvollständig ist, durch entsprechende Fragen Gelegenheit zur Klarstellung und Ergänzung (ge- richtliche Fragepflicht). Vorliegend hat die Beklagte im vorinstanzlichen Verfahren ihren Standpunkt, dass infolge ihrer ausserordentlichen Kündi- gung der Mietvertrag dahingefallen sei und dieser daher keinen provisori- schen Rechtsöffnungstitel darstelle, ausreichend klar vorgebracht. Sie hat die behaupteten Mängel, welche sie zur Kündigung berechtigt hätten, je- doch nicht einmal ansatzweise belegt und damit nicht glaubhaft gemacht. Die Beklagte bringt mit ihrer Beschwerde nicht konkret vor, mit welchem Inhalt der vorinstanzliche Richter seine Fragepflicht hätte ausüben müssen und inwiefern sie dadurch in anderer Weise prozessiert hätte. Alleine die Tatsache, dass sie im vorinstanzlichen Verfahren unterlegen ist, bedeutet nicht, dass dies der Richter mit der Ausübung seiner Frageplicht hätte ver- hindern können, dürfen und müssen. Hätte die Vorinstanz die Beklagte bei der Suche nach geeigneten Beweismitteln für ihre unbelegten Behauptun- gen unterstützt, wäre sie in unzulässiger Weise über die gerichtliche Fra- gepflicht hinausgegangen. Die entsprechende Rüge geht fehl.</w:t>
      </w:r>
    </w:p>
    <w:p>
      <w:r>
        <w:t>- 7 -</w:t>
      </w:r>
    </w:p>
    <w:p>
      <w:r>
        <w:rPr>
          <w:b/>
        </w:rPr>
        <w:t>E. 5</w:t>
      </w:r>
    </w:p>
    <w:p>
      <w:r>
        <w:t>Im Ergebnis ist die Beschwerde abzuweisen. Ausgangsgemäss wird die Beklagte kostenpflichtig (Art. 106 Abs. 1 ZPO). Die Spruchgebühr für das Beschwerdeverfahren wird auf Fr. 450.00 festgesetzt (Art. 48 i.V.m. Art. 61 GebV SchKG) und mit dem von der Beklagten in gleicher Höhe geleisteten Kostenvorschuss verrechnet (Art. 111 Abs. 1 ZPO). Im Übrigen hat die Be- klagte dem anwaltlich vertretenen Kläger dessen angemessene Parteikos- ten für das Beschwerdeverfahren zu ersetzen. Diese Parteientschädigung ist ausgehend von einer Grundentschädigung von Fr. 906.60 (Fr. 3'022.00 bei einem Streitwert von Fr. 8'960.00 [§ 3 Abs. 1 lit. a Ziff. 4 AnwT], davon 30 % [§ 3 Abs. 2 AnwT]) und unter Berücksichtigung eines Abzugs von 20 % wegen der fehlenden Verhandlung, eines Rechtsmittelabzugs von 25 % (§ 8 AnwT), Auslagen von pauschal Fr. 30.00 und 7.7 % Mehrwert- steuer auf Fr. 618.15 festzulegen. Das Obergericht erkennt: 1. Die Beschwerde wird abgewiesen. 2. Die Gerichtsgebühr von Fr. 450.00 wird der Beklagten auferlegt und mit dem von ihr in gleicher Höhe geleisteten Kostenvorschuss verrechnet. 3. Die Beklagte wird verpflichtet, dem Kläger eine Parteientschädigung von Fr. 618.15 (inkl. Auslagen und Mehrwertsteuer) zu bezahlen. Zustellung an: den Kläger (Vertreter) die Beklagte die Vorinstanz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w:t>
      </w:r>
    </w:p>
    <w:p>
      <w:r>
        <w:t>- 8 -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8'960.00.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4. Juli 2022 Obergericht des Kantons Aargau Zivilgericht, 5. Kammer Der Präsident: Der Gerichtsschreiber: Brunner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